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509CE" w14:textId="7F4421D0" w:rsidR="006170B5" w:rsidRPr="00176510" w:rsidRDefault="006170B5" w:rsidP="006170B5">
      <w:pPr>
        <w:jc w:val="right"/>
        <w:rPr>
          <w:rFonts w:ascii="Poppins" w:hAnsi="Poppins" w:cs="Poppins"/>
        </w:rPr>
      </w:pPr>
      <w:r w:rsidRPr="00176510">
        <w:rPr>
          <w:rFonts w:ascii="Poppins" w:hAnsi="Poppins" w:cs="Poppins"/>
        </w:rPr>
        <w:t>Warszawa,</w:t>
      </w:r>
      <w:r w:rsidR="00657D4F" w:rsidRPr="00176510">
        <w:rPr>
          <w:rFonts w:ascii="Poppins" w:hAnsi="Poppins" w:cs="Poppins"/>
        </w:rPr>
        <w:t xml:space="preserve"> </w:t>
      </w:r>
      <w:r w:rsidR="00176510" w:rsidRPr="00176510">
        <w:rPr>
          <w:rFonts w:ascii="Poppins" w:hAnsi="Poppins" w:cs="Poppins"/>
        </w:rPr>
        <w:t>1</w:t>
      </w:r>
      <w:r w:rsidR="001353AA">
        <w:rPr>
          <w:rFonts w:ascii="Poppins" w:hAnsi="Poppins" w:cs="Poppins"/>
        </w:rPr>
        <w:t>9</w:t>
      </w:r>
      <w:r w:rsidR="000D6BC3" w:rsidRPr="00176510">
        <w:rPr>
          <w:rFonts w:ascii="Poppins" w:hAnsi="Poppins" w:cs="Poppins"/>
        </w:rPr>
        <w:t>.</w:t>
      </w:r>
      <w:r w:rsidR="00E1551E" w:rsidRPr="00176510">
        <w:rPr>
          <w:rFonts w:ascii="Poppins" w:hAnsi="Poppins" w:cs="Poppins"/>
        </w:rPr>
        <w:t>1</w:t>
      </w:r>
      <w:r w:rsidR="00657D4F" w:rsidRPr="00176510">
        <w:rPr>
          <w:rFonts w:ascii="Poppins" w:hAnsi="Poppins" w:cs="Poppins"/>
        </w:rPr>
        <w:t>2</w:t>
      </w:r>
      <w:r w:rsidRPr="00176510">
        <w:rPr>
          <w:rFonts w:ascii="Poppins" w:hAnsi="Poppins" w:cs="Poppins"/>
        </w:rPr>
        <w:t>.202</w:t>
      </w:r>
      <w:r w:rsidR="007E09BE" w:rsidRPr="00176510">
        <w:rPr>
          <w:rFonts w:ascii="Poppins" w:hAnsi="Poppins" w:cs="Poppins"/>
        </w:rPr>
        <w:t>4</w:t>
      </w:r>
      <w:r w:rsidRPr="00176510">
        <w:rPr>
          <w:rFonts w:ascii="Poppins" w:hAnsi="Poppins" w:cs="Poppins"/>
        </w:rPr>
        <w:t xml:space="preserve"> r.</w:t>
      </w:r>
    </w:p>
    <w:p w14:paraId="7E661A12" w14:textId="080ED77D" w:rsidR="00293F01" w:rsidRPr="00176510" w:rsidRDefault="00293F01" w:rsidP="00FB7A20">
      <w:pPr>
        <w:rPr>
          <w:rFonts w:ascii="Poppins" w:hAnsi="Poppins" w:cs="Poppins"/>
        </w:rPr>
      </w:pPr>
      <w:r w:rsidRPr="00176510">
        <w:rPr>
          <w:rFonts w:ascii="Poppins" w:hAnsi="Poppins" w:cs="Poppins"/>
        </w:rPr>
        <w:t xml:space="preserve">Autor: </w:t>
      </w:r>
      <w:hyperlink r:id="rId8" w:history="1">
        <w:r w:rsidR="00F837DB" w:rsidRPr="00176510">
          <w:rPr>
            <w:rStyle w:val="Hipercze"/>
            <w:rFonts w:ascii="Poppins" w:hAnsi="Poppins" w:cs="Poppins"/>
          </w:rPr>
          <w:t>RynekPierwotny.pl</w:t>
        </w:r>
      </w:hyperlink>
    </w:p>
    <w:p w14:paraId="1C6CDAAE" w14:textId="5F460978" w:rsidR="00176510" w:rsidRPr="00176510" w:rsidRDefault="007C2D36" w:rsidP="00176510">
      <w:pPr>
        <w:pBdr>
          <w:top w:val="nil"/>
          <w:left w:val="nil"/>
          <w:bottom w:val="nil"/>
          <w:right w:val="nil"/>
          <w:between w:val="nil"/>
        </w:pBdr>
        <w:spacing w:line="240" w:lineRule="auto"/>
        <w:rPr>
          <w:rFonts w:ascii="Poppins" w:hAnsi="Poppins" w:cs="Poppins"/>
          <w:color w:val="000000"/>
          <w:sz w:val="36"/>
          <w:szCs w:val="36"/>
          <w:shd w:val="clear" w:color="auto" w:fill="FFFFFF"/>
        </w:rPr>
      </w:pPr>
      <w:r>
        <w:rPr>
          <w:rFonts w:ascii="Poppins" w:hAnsi="Poppins" w:cs="Poppins"/>
          <w:b/>
          <w:bCs/>
          <w:color w:val="000000"/>
          <w:sz w:val="36"/>
          <w:szCs w:val="36"/>
          <w:shd w:val="clear" w:color="auto" w:fill="FFFFFF"/>
        </w:rPr>
        <w:t xml:space="preserve">[SONDA] </w:t>
      </w:r>
      <w:r w:rsidR="00176510" w:rsidRPr="00176510">
        <w:rPr>
          <w:rFonts w:ascii="Poppins" w:hAnsi="Poppins" w:cs="Poppins"/>
          <w:b/>
          <w:bCs/>
          <w:color w:val="000000"/>
          <w:sz w:val="36"/>
          <w:szCs w:val="36"/>
          <w:shd w:val="clear" w:color="auto" w:fill="FFFFFF"/>
        </w:rPr>
        <w:t>Rok 2024 na rynku nieruchomości mieszkaniowych. Pełen wyzwań czy możliwości? </w:t>
      </w:r>
    </w:p>
    <w:p w14:paraId="0D46D268" w14:textId="7F2C50CD" w:rsidR="00176510" w:rsidRPr="00176510" w:rsidRDefault="00176510" w:rsidP="00176510">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176510">
        <w:rPr>
          <w:rFonts w:ascii="Poppins" w:hAnsi="Poppins" w:cs="Poppins"/>
          <w:b/>
          <w:bCs/>
          <w:color w:val="000000"/>
          <w:sz w:val="21"/>
          <w:szCs w:val="21"/>
          <w:shd w:val="clear" w:color="auto" w:fill="FFFFFF"/>
        </w:rPr>
        <w:t xml:space="preserve">Mijający rok wystawił wszystkich uczestników rynku nieruchomości mieszkaniowych na próbę. Wysokie stopy procentowe, spadająca zdolność kredytowa Polaków i brak rządowego programu wsparcia,  stworzyły mieszankę wyzwań, które wymagały od deweloperów elastyczności i dopasowania swoich strategii do dynamicznie zmieniającej się rzeczywistości. Jednocześnie w 2024 roku nastąpił wzrost zainteresowania inwestycjami </w:t>
      </w:r>
      <w:proofErr w:type="spellStart"/>
      <w:r w:rsidRPr="00BA780D">
        <w:rPr>
          <w:rFonts w:ascii="Poppins" w:hAnsi="Poppins" w:cs="Poppins"/>
          <w:b/>
          <w:bCs/>
          <w:i/>
          <w:iCs/>
          <w:color w:val="000000"/>
          <w:sz w:val="21"/>
          <w:szCs w:val="21"/>
          <w:shd w:val="clear" w:color="auto" w:fill="FFFFFF"/>
        </w:rPr>
        <w:t>premium</w:t>
      </w:r>
      <w:proofErr w:type="spellEnd"/>
      <w:r w:rsidRPr="00176510">
        <w:rPr>
          <w:rFonts w:ascii="Poppins" w:hAnsi="Poppins" w:cs="Poppins"/>
          <w:b/>
          <w:bCs/>
          <w:color w:val="000000"/>
          <w:sz w:val="21"/>
          <w:szCs w:val="21"/>
          <w:shd w:val="clear" w:color="auto" w:fill="FFFFFF"/>
        </w:rPr>
        <w:t xml:space="preserve"> i zrównoważonym budownictwem</w:t>
      </w:r>
      <w:r w:rsidR="00BA780D">
        <w:rPr>
          <w:rFonts w:ascii="Poppins" w:hAnsi="Poppins" w:cs="Poppins"/>
          <w:b/>
          <w:bCs/>
          <w:color w:val="000000"/>
          <w:sz w:val="21"/>
          <w:szCs w:val="21"/>
          <w:shd w:val="clear" w:color="auto" w:fill="FFFFFF"/>
        </w:rPr>
        <w:t>.</w:t>
      </w:r>
      <w:r w:rsidRPr="00176510">
        <w:rPr>
          <w:rFonts w:ascii="Poppins" w:hAnsi="Poppins" w:cs="Poppins"/>
          <w:b/>
          <w:bCs/>
          <w:color w:val="000000"/>
          <w:sz w:val="21"/>
          <w:szCs w:val="21"/>
          <w:shd w:val="clear" w:color="auto" w:fill="FFFFFF"/>
        </w:rPr>
        <w:t xml:space="preserve"> Czy branża deweloperska znalazła receptę na stabilność w burzliwych czasach? Portal </w:t>
      </w:r>
      <w:hyperlink r:id="rId9" w:history="1">
        <w:r w:rsidRPr="00176510">
          <w:rPr>
            <w:rStyle w:val="Hipercze"/>
            <w:rFonts w:ascii="Poppins" w:hAnsi="Poppins" w:cs="Poppins"/>
            <w:b/>
            <w:bCs/>
            <w:sz w:val="21"/>
            <w:szCs w:val="21"/>
            <w:shd w:val="clear" w:color="auto" w:fill="FFFFFF"/>
          </w:rPr>
          <w:t>RynekPierwotny.pl</w:t>
        </w:r>
      </w:hyperlink>
      <w:r w:rsidRPr="00176510">
        <w:rPr>
          <w:rFonts w:ascii="Poppins" w:hAnsi="Poppins" w:cs="Poppins"/>
          <w:b/>
          <w:bCs/>
          <w:color w:val="000000"/>
          <w:sz w:val="21"/>
          <w:szCs w:val="21"/>
          <w:shd w:val="clear" w:color="auto" w:fill="FFFFFF"/>
        </w:rPr>
        <w:t xml:space="preserve"> zapytał przedstawicieli firm deweloperskich o najważniejsze wydarzenia i zmiany, które </w:t>
      </w:r>
      <w:r w:rsidR="007C2D36">
        <w:rPr>
          <w:rFonts w:ascii="Poppins" w:hAnsi="Poppins" w:cs="Poppins"/>
          <w:b/>
          <w:bCs/>
          <w:color w:val="000000"/>
          <w:sz w:val="21"/>
          <w:szCs w:val="21"/>
          <w:shd w:val="clear" w:color="auto" w:fill="FFFFFF"/>
        </w:rPr>
        <w:t>miały największy wpływ na</w:t>
      </w:r>
      <w:r w:rsidRPr="00176510">
        <w:rPr>
          <w:rFonts w:ascii="Poppins" w:hAnsi="Poppins" w:cs="Poppins"/>
          <w:b/>
          <w:bCs/>
          <w:color w:val="000000"/>
          <w:sz w:val="21"/>
          <w:szCs w:val="21"/>
          <w:shd w:val="clear" w:color="auto" w:fill="FFFFFF"/>
        </w:rPr>
        <w:t xml:space="preserve"> minione miesiące.</w:t>
      </w:r>
    </w:p>
    <w:p w14:paraId="695A6A3C" w14:textId="77777777" w:rsidR="00176510" w:rsidRPr="00176510" w:rsidRDefault="00176510" w:rsidP="00176510">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176510">
        <w:rPr>
          <w:rFonts w:ascii="Poppins" w:hAnsi="Poppins" w:cs="Poppins"/>
          <w:b/>
          <w:bCs/>
          <w:color w:val="000000"/>
          <w:sz w:val="21"/>
          <w:szCs w:val="21"/>
          <w:shd w:val="clear" w:color="auto" w:fill="FFFFFF"/>
        </w:rPr>
        <w:t>Andrzej Gutowski, Dyrektor Sprzedaży RONSON Development</w:t>
      </w:r>
    </w:p>
    <w:p w14:paraId="4CAA7FEC" w14:textId="77777777" w:rsidR="00176510" w:rsidRPr="00176510" w:rsidRDefault="00176510" w:rsidP="00176510">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176510">
        <w:rPr>
          <w:rFonts w:ascii="Poppins" w:hAnsi="Poppins" w:cs="Poppins"/>
          <w:color w:val="000000"/>
          <w:sz w:val="21"/>
          <w:szCs w:val="21"/>
          <w:shd w:val="clear" w:color="auto" w:fill="FFFFFF"/>
        </w:rPr>
        <w:t>Rok 2024 był dla branży nieruchomości mieszkaniowych okresem pełnym wyzwań, a zarazem czasem wymagającym podejmowania przemyślanych i rozważnych decyzji. W RONSON Development konsekwentnie realizowaliśmy strategię mającą na celu utrzymanie efektywności i zyskowności projektów. Dzięki temu, pomimo trudnej sytuacji na rynku, mogliśmy osiągać stabilne wyniki finansowe i zachować elastyczność w dostosowywaniu się do dynamicznych zmian.</w:t>
      </w:r>
    </w:p>
    <w:p w14:paraId="43FA71CD" w14:textId="77777777" w:rsidR="00176510" w:rsidRPr="00176510" w:rsidRDefault="00176510" w:rsidP="00176510">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176510">
        <w:rPr>
          <w:rFonts w:ascii="Poppins" w:hAnsi="Poppins" w:cs="Poppins"/>
          <w:color w:val="000000"/>
          <w:sz w:val="21"/>
          <w:szCs w:val="21"/>
          <w:shd w:val="clear" w:color="auto" w:fill="FFFFFF"/>
        </w:rPr>
        <w:t>Sprzedaż mieszkań w całej branży była w tym roku niższa w porównaniu do lat poprzednich. Początek roku przyniósł chwilowy optymizm wywołany zapowiedzią rządowego programu dopłat, jednak już w kolejnych miesiącach realia rynku zweryfikowały nastroje klientów. Popyt utrzymywał się na niższym poziomie, a w drugiej połowie roku dynamika sprzedaży osłabła.</w:t>
      </w:r>
    </w:p>
    <w:p w14:paraId="79ECA2FB" w14:textId="77777777" w:rsidR="00176510" w:rsidRPr="00176510" w:rsidRDefault="00176510" w:rsidP="00176510">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176510">
        <w:rPr>
          <w:rFonts w:ascii="Poppins" w:hAnsi="Poppins" w:cs="Poppins"/>
          <w:color w:val="000000"/>
          <w:sz w:val="21"/>
          <w:szCs w:val="21"/>
          <w:shd w:val="clear" w:color="auto" w:fill="FFFFFF"/>
        </w:rPr>
        <w:t>W mijającym roku dało się zauważyć pewne tendencje w strukturze zakupów. Coraz więcej klientów – około 40% – decydowało się na zakup za gotówkę. Wynika to zarówno z większej ostrożności w zaciąganiu kredytów hipotecznych, jak i z napływu klientów dysponujących większymi środkami, w tym obywateli Ukrainy i Białorusi, którzy stanowili około 15-20% naszych nabywców. Co istotne, coraz częściej klienci kupują mieszkania na własne potrzeby, rezygnując z inwestowania w nieruchomości na wynajem.</w:t>
      </w:r>
    </w:p>
    <w:p w14:paraId="06356B67" w14:textId="77777777" w:rsidR="00176510" w:rsidRDefault="00176510" w:rsidP="00176510">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176510">
        <w:rPr>
          <w:rFonts w:ascii="Poppins" w:hAnsi="Poppins" w:cs="Poppins"/>
          <w:color w:val="000000"/>
          <w:sz w:val="21"/>
          <w:szCs w:val="21"/>
          <w:shd w:val="clear" w:color="auto" w:fill="FFFFFF"/>
        </w:rPr>
        <w:t>Ostatnie miesiące roku przyniosły chwilowe ożywienie, które związane było z intensywnymi działaniami promocyjnymi i koniecznością realizacji planów sprzedażowych przez deweloperów. Klienci, widząc atrakcyjne oferty, chętniej podejmowali decyzje zakupowe, co przełożyło się na nieznacznie większą aktywność na rynku. </w:t>
      </w:r>
    </w:p>
    <w:p w14:paraId="1FE0BDEC" w14:textId="77777777" w:rsidR="00731F3A" w:rsidRPr="00176510" w:rsidRDefault="00731F3A" w:rsidP="00731F3A">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176510">
        <w:rPr>
          <w:rFonts w:ascii="Poppins" w:hAnsi="Poppins" w:cs="Poppins"/>
          <w:b/>
          <w:bCs/>
          <w:color w:val="000000"/>
          <w:sz w:val="21"/>
          <w:szCs w:val="21"/>
          <w:shd w:val="clear" w:color="auto" w:fill="FFFFFF"/>
        </w:rPr>
        <w:lastRenderedPageBreak/>
        <w:t xml:space="preserve">Anna </w:t>
      </w:r>
      <w:proofErr w:type="spellStart"/>
      <w:r w:rsidRPr="00176510">
        <w:rPr>
          <w:rFonts w:ascii="Poppins" w:hAnsi="Poppins" w:cs="Poppins"/>
          <w:b/>
          <w:bCs/>
          <w:color w:val="000000"/>
          <w:sz w:val="21"/>
          <w:szCs w:val="21"/>
          <w:shd w:val="clear" w:color="auto" w:fill="FFFFFF"/>
        </w:rPr>
        <w:t>Skotnicka-Ryś</w:t>
      </w:r>
      <w:proofErr w:type="spellEnd"/>
      <w:r>
        <w:rPr>
          <w:rFonts w:ascii="Poppins" w:hAnsi="Poppins" w:cs="Poppins"/>
          <w:b/>
          <w:bCs/>
          <w:color w:val="000000"/>
          <w:sz w:val="21"/>
          <w:szCs w:val="21"/>
          <w:shd w:val="clear" w:color="auto" w:fill="FFFFFF"/>
        </w:rPr>
        <w:t xml:space="preserve">, </w:t>
      </w:r>
      <w:r w:rsidRPr="00176510">
        <w:rPr>
          <w:rFonts w:ascii="Poppins" w:hAnsi="Poppins" w:cs="Poppins"/>
          <w:b/>
          <w:bCs/>
          <w:color w:val="000000"/>
          <w:sz w:val="21"/>
          <w:szCs w:val="21"/>
          <w:shd w:val="clear" w:color="auto" w:fill="FFFFFF"/>
        </w:rPr>
        <w:t>Członek Zarządu, Dyrektor Działu Handlowego w PROFBUD</w:t>
      </w:r>
    </w:p>
    <w:p w14:paraId="0BE2C5C1" w14:textId="77777777" w:rsidR="00731F3A" w:rsidRPr="00176510" w:rsidRDefault="00731F3A" w:rsidP="00731F3A">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176510">
        <w:rPr>
          <w:rFonts w:ascii="Poppins" w:hAnsi="Poppins" w:cs="Poppins"/>
          <w:color w:val="000000"/>
          <w:sz w:val="21"/>
          <w:szCs w:val="21"/>
          <w:shd w:val="clear" w:color="auto" w:fill="FFFFFF"/>
        </w:rPr>
        <w:t>Rok 2024 na rynku nieruchomości mieszkaniowych postrzegamy jako pełen inspiracji. W PROFBUD był to czas kluczowych inicjatyw, takich jak Sponsoring Polskiej Reprezentacji Olimpijskiej oraz przekazanie mieszkań złotym i srebrnym medalistkom z Paryża. Łączy się to z wprowadzeniem do sprzedaży wyjątkowej na skalę Polski inwestycji – Miasta Polskich Mistrzów Olimpijskich w aglomeracji warszawskiej, która cieszy się bardzo dużym zainteresowaniem. Ten strategiczny projekt zdobył uznanie zarówno klientów, jak i ekspertów branżowych.</w:t>
      </w:r>
    </w:p>
    <w:p w14:paraId="15C92760" w14:textId="77777777" w:rsidR="00731F3A" w:rsidRPr="00176510" w:rsidRDefault="00731F3A" w:rsidP="00731F3A">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176510">
        <w:rPr>
          <w:rFonts w:ascii="Poppins" w:hAnsi="Poppins" w:cs="Poppins"/>
          <w:color w:val="000000"/>
          <w:sz w:val="21"/>
          <w:szCs w:val="21"/>
          <w:shd w:val="clear" w:color="auto" w:fill="FFFFFF"/>
        </w:rPr>
        <w:t> Branża deweloperska w 2024 roku musiała zmierzyć się z szeregiem wyzwań, które przyczyniły się do niższej dynamiki sprzedaży w porównaniu do roku poprzedniego. Kluczowe było jednak zrozumienie czynników wpływających na sytuację na rynku.</w:t>
      </w:r>
    </w:p>
    <w:p w14:paraId="60F8526F" w14:textId="77777777" w:rsidR="00731F3A" w:rsidRPr="00176510" w:rsidRDefault="00731F3A" w:rsidP="00731F3A">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176510">
        <w:rPr>
          <w:rFonts w:ascii="Poppins" w:hAnsi="Poppins" w:cs="Poppins"/>
          <w:color w:val="000000"/>
          <w:sz w:val="21"/>
          <w:szCs w:val="21"/>
          <w:shd w:val="clear" w:color="auto" w:fill="FFFFFF"/>
        </w:rPr>
        <w:t>Pomimo stabilizacji stóp procentowych, koszty kredytów hipotecznych pozostały wysokie, a wymagany wkład własny nadal ograniczał zdolność kredytową wielu Polaków. Dodatkowo, efekty programu „Bezpieczny Kredyt 2%” szybko się wyczerpały, a brak informacji dotyczącej wprowadzenie nowych rozwiązań rządowych nie wpływał korzystnie na podejmowanie decyzji przez klientów. Równocześnie odnotowano wzrost podaży nowych nieruchomości – w 2024 roku rozpoczęto budowę znacznie większej liczby inwestycji niż w roku poprzednim, co zwiększyło konkurencję na rynku i wydłużyło procesy sprzedażowe.</w:t>
      </w:r>
    </w:p>
    <w:p w14:paraId="317F4DE2" w14:textId="77777777" w:rsidR="00731F3A" w:rsidRPr="00176510" w:rsidRDefault="00731F3A" w:rsidP="00731F3A">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176510">
        <w:rPr>
          <w:rFonts w:ascii="Poppins" w:hAnsi="Poppins" w:cs="Poppins"/>
          <w:color w:val="000000"/>
          <w:sz w:val="21"/>
          <w:szCs w:val="21"/>
          <w:shd w:val="clear" w:color="auto" w:fill="FFFFFF"/>
        </w:rPr>
        <w:t xml:space="preserve">Warto jednak zauważyć, że segment </w:t>
      </w:r>
      <w:proofErr w:type="spellStart"/>
      <w:r w:rsidRPr="00176510">
        <w:rPr>
          <w:rFonts w:ascii="Poppins" w:hAnsi="Poppins" w:cs="Poppins"/>
          <w:color w:val="000000"/>
          <w:sz w:val="21"/>
          <w:szCs w:val="21"/>
          <w:shd w:val="clear" w:color="auto" w:fill="FFFFFF"/>
        </w:rPr>
        <w:t>premium</w:t>
      </w:r>
      <w:proofErr w:type="spellEnd"/>
      <w:r w:rsidRPr="00176510">
        <w:rPr>
          <w:rFonts w:ascii="Poppins" w:hAnsi="Poppins" w:cs="Poppins"/>
          <w:color w:val="000000"/>
          <w:sz w:val="21"/>
          <w:szCs w:val="21"/>
          <w:shd w:val="clear" w:color="auto" w:fill="FFFFFF"/>
        </w:rPr>
        <w:t xml:space="preserve"> pozostał odporny na te trudności. Klienci zamożni są mniej wrażliwi na zmiany w gospodarce, a luksusowe nieruchomości cieszą się stałym popytem, będąc atrakcyjną i bezpieczną formą lokaty kapitału.</w:t>
      </w:r>
    </w:p>
    <w:p w14:paraId="7BDB9D9B" w14:textId="77777777" w:rsidR="00731F3A" w:rsidRPr="00176510" w:rsidRDefault="00731F3A" w:rsidP="00731F3A">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176510">
        <w:rPr>
          <w:rFonts w:ascii="Poppins" w:hAnsi="Poppins" w:cs="Poppins"/>
          <w:color w:val="000000"/>
          <w:sz w:val="21"/>
          <w:szCs w:val="21"/>
          <w:shd w:val="clear" w:color="auto" w:fill="FFFFFF"/>
        </w:rPr>
        <w:t xml:space="preserve">Z optymizmem spoglądamy na nadchodzący rok 2025. Planujemy kolejne ambitne inwestycje, w tym nowe projekty z segmentu </w:t>
      </w:r>
      <w:proofErr w:type="spellStart"/>
      <w:r w:rsidRPr="00176510">
        <w:rPr>
          <w:rFonts w:ascii="Poppins" w:hAnsi="Poppins" w:cs="Poppins"/>
          <w:color w:val="000000"/>
          <w:sz w:val="21"/>
          <w:szCs w:val="21"/>
          <w:shd w:val="clear" w:color="auto" w:fill="FFFFFF"/>
        </w:rPr>
        <w:t>premium</w:t>
      </w:r>
      <w:proofErr w:type="spellEnd"/>
      <w:r w:rsidRPr="00176510">
        <w:rPr>
          <w:rFonts w:ascii="Poppins" w:hAnsi="Poppins" w:cs="Poppins"/>
          <w:color w:val="000000"/>
          <w:sz w:val="21"/>
          <w:szCs w:val="21"/>
          <w:shd w:val="clear" w:color="auto" w:fill="FFFFFF"/>
        </w:rPr>
        <w:t>, które już wkrótce wzbogacą nasze portfolio i umocnią naszą pozycję na rynku.</w:t>
      </w:r>
    </w:p>
    <w:p w14:paraId="0FE61418" w14:textId="77777777" w:rsidR="00731F3A" w:rsidRPr="00176510" w:rsidRDefault="00731F3A" w:rsidP="00731F3A">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176510">
        <w:rPr>
          <w:rFonts w:ascii="Poppins" w:hAnsi="Poppins" w:cs="Poppins"/>
          <w:b/>
          <w:bCs/>
          <w:color w:val="000000"/>
          <w:sz w:val="21"/>
          <w:szCs w:val="21"/>
          <w:shd w:val="clear" w:color="auto" w:fill="FFFFFF"/>
        </w:rPr>
        <w:t xml:space="preserve">Tomasz Kaleta, Dyrektor Zarządzający ds. Sprzedaży i Marketingu w </w:t>
      </w:r>
      <w:proofErr w:type="spellStart"/>
      <w:r w:rsidRPr="00176510">
        <w:rPr>
          <w:rFonts w:ascii="Poppins" w:hAnsi="Poppins" w:cs="Poppins"/>
          <w:b/>
          <w:bCs/>
          <w:color w:val="000000"/>
          <w:sz w:val="21"/>
          <w:szCs w:val="21"/>
          <w:shd w:val="clear" w:color="auto" w:fill="FFFFFF"/>
        </w:rPr>
        <w:t>Develii</w:t>
      </w:r>
      <w:proofErr w:type="spellEnd"/>
    </w:p>
    <w:p w14:paraId="089D90A6" w14:textId="77777777" w:rsidR="00731F3A" w:rsidRPr="00176510" w:rsidRDefault="00731F3A" w:rsidP="00731F3A">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176510">
        <w:rPr>
          <w:rFonts w:ascii="Poppins" w:hAnsi="Poppins" w:cs="Poppins"/>
          <w:color w:val="000000"/>
          <w:sz w:val="21"/>
          <w:szCs w:val="21"/>
          <w:shd w:val="clear" w:color="auto" w:fill="FFFFFF"/>
        </w:rPr>
        <w:t xml:space="preserve">Liczne wyzwania i niepewność panująca na rynku nieruchomości w 2024 r. wymagały od deweloperów dużej elastyczności. Jak wynika z danych JLL, sprzedaż lokali w ciągu 11 miesięcy zmniejszyła się o 35 proc. w porównaniu do analogicznego okresu ubiegłego roku. Na zmniejszenie zainteresowania nabywców wpływały wysoki poziom stóp procentowych oraz niepewność co do nowych rządowych programów wsparcia. Nie bez znaczenia był również niski poziom oferty na początku roku na największych rynkach, co przełożyło się na </w:t>
      </w:r>
      <w:hyperlink r:id="rId10" w:history="1">
        <w:r w:rsidRPr="00176510">
          <w:rPr>
            <w:rStyle w:val="Hipercze"/>
            <w:rFonts w:ascii="Poppins" w:hAnsi="Poppins" w:cs="Poppins"/>
            <w:sz w:val="21"/>
            <w:szCs w:val="21"/>
            <w:shd w:val="clear" w:color="auto" w:fill="FFFFFF"/>
          </w:rPr>
          <w:t>wzrost cen mieszkań</w:t>
        </w:r>
      </w:hyperlink>
      <w:r w:rsidRPr="00176510">
        <w:rPr>
          <w:rFonts w:ascii="Poppins" w:hAnsi="Poppins" w:cs="Poppins"/>
          <w:color w:val="000000"/>
          <w:sz w:val="21"/>
          <w:szCs w:val="21"/>
          <w:shd w:val="clear" w:color="auto" w:fill="FFFFFF"/>
        </w:rPr>
        <w:t xml:space="preserve">, szczególnie w pierwszym kwartale. Obecnie ceny uległy stabilizacji, a oferta mieszkań wróciła do poziomów sprzed pandemii COVID-19. Pomimo wymagającej sytuacji rynkowej </w:t>
      </w:r>
      <w:proofErr w:type="spellStart"/>
      <w:r w:rsidRPr="00176510">
        <w:rPr>
          <w:rFonts w:ascii="Poppins" w:hAnsi="Poppins" w:cs="Poppins"/>
          <w:color w:val="000000"/>
          <w:sz w:val="21"/>
          <w:szCs w:val="21"/>
          <w:shd w:val="clear" w:color="auto" w:fill="FFFFFF"/>
        </w:rPr>
        <w:t>Develia</w:t>
      </w:r>
      <w:proofErr w:type="spellEnd"/>
      <w:r w:rsidRPr="00176510">
        <w:rPr>
          <w:rFonts w:ascii="Poppins" w:hAnsi="Poppins" w:cs="Poppins"/>
          <w:color w:val="000000"/>
          <w:sz w:val="21"/>
          <w:szCs w:val="21"/>
          <w:shd w:val="clear" w:color="auto" w:fill="FFFFFF"/>
        </w:rPr>
        <w:t xml:space="preserve"> już w październiku przekroczyła swój rekordowy roczny wynik sprzedaży za ubiegły rok i osiągnęła tegoroczny cel. Było to możliwe przede wszystkim dzięki atrakcyjnej ofercie odpowiadającej na potrzeby różnych grup nabywców. Rok 2024 był jednocześnie </w:t>
      </w:r>
      <w:r w:rsidRPr="00176510">
        <w:rPr>
          <w:rFonts w:ascii="Poppins" w:hAnsi="Poppins" w:cs="Poppins"/>
          <w:color w:val="000000"/>
          <w:sz w:val="21"/>
          <w:szCs w:val="21"/>
          <w:shd w:val="clear" w:color="auto" w:fill="FFFFFF"/>
        </w:rPr>
        <w:lastRenderedPageBreak/>
        <w:t>czasem odbudowy oferty przez deweloperów. W okresie od stycznia do września nowa podaż mieszkań wzrosła o 65 proc. </w:t>
      </w:r>
    </w:p>
    <w:p w14:paraId="792F1FB8" w14:textId="11F4297B" w:rsidR="00731F3A" w:rsidRDefault="00731F3A" w:rsidP="00176510">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176510">
        <w:rPr>
          <w:rFonts w:ascii="Poppins" w:hAnsi="Poppins" w:cs="Poppins"/>
          <w:color w:val="000000"/>
          <w:sz w:val="21"/>
          <w:szCs w:val="21"/>
          <w:shd w:val="clear" w:color="auto" w:fill="FFFFFF"/>
        </w:rPr>
        <w:t xml:space="preserve">W 2024 r. na znaczeniu zyskał trend zrównoważonego i odpowiedzialnego budownictwa.  Jednym z naszych projektów zrealizowanych zgodnie z tymi standardami we współpracy z Grupo Lar Polska jest warszawska inwestycja Lizbońska, która powstała w oparciu o szeroko zakrojone konsultacje społeczne przy wykorzystaniu specustawy „lex deweloper”. Trwa również proces certyfikacji osiedla w międzynarodowym systemie BREEAM. W projektach coraz częściej wdrażano także ideę miast 15-minutowych, których koncepcję </w:t>
      </w:r>
      <w:proofErr w:type="spellStart"/>
      <w:r w:rsidRPr="00176510">
        <w:rPr>
          <w:rFonts w:ascii="Poppins" w:hAnsi="Poppins" w:cs="Poppins"/>
          <w:color w:val="000000"/>
          <w:sz w:val="21"/>
          <w:szCs w:val="21"/>
          <w:shd w:val="clear" w:color="auto" w:fill="FFFFFF"/>
        </w:rPr>
        <w:t>Develia</w:t>
      </w:r>
      <w:proofErr w:type="spellEnd"/>
      <w:r w:rsidRPr="00176510">
        <w:rPr>
          <w:rFonts w:ascii="Poppins" w:hAnsi="Poppins" w:cs="Poppins"/>
          <w:color w:val="000000"/>
          <w:sz w:val="21"/>
          <w:szCs w:val="21"/>
          <w:shd w:val="clear" w:color="auto" w:fill="FFFFFF"/>
        </w:rPr>
        <w:t xml:space="preserve"> wykorzystała, tworząc m.in. krakowskie osiedla City </w:t>
      </w:r>
      <w:proofErr w:type="spellStart"/>
      <w:r w:rsidRPr="00176510">
        <w:rPr>
          <w:rFonts w:ascii="Poppins" w:hAnsi="Poppins" w:cs="Poppins"/>
          <w:color w:val="000000"/>
          <w:sz w:val="21"/>
          <w:szCs w:val="21"/>
          <w:shd w:val="clear" w:color="auto" w:fill="FFFFFF"/>
        </w:rPr>
        <w:t>Vibe</w:t>
      </w:r>
      <w:proofErr w:type="spellEnd"/>
      <w:r w:rsidRPr="00176510">
        <w:rPr>
          <w:rFonts w:ascii="Poppins" w:hAnsi="Poppins" w:cs="Poppins"/>
          <w:color w:val="000000"/>
          <w:sz w:val="21"/>
          <w:szCs w:val="21"/>
          <w:shd w:val="clear" w:color="auto" w:fill="FFFFFF"/>
        </w:rPr>
        <w:t xml:space="preserve"> oraz Centralna Vita. </w:t>
      </w:r>
    </w:p>
    <w:p w14:paraId="7CE5F6F0" w14:textId="77777777" w:rsidR="00731F3A" w:rsidRPr="00176510" w:rsidRDefault="00731F3A" w:rsidP="00731F3A">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176510">
        <w:rPr>
          <w:rFonts w:ascii="Poppins" w:hAnsi="Poppins" w:cs="Poppins"/>
          <w:b/>
          <w:bCs/>
          <w:color w:val="000000"/>
          <w:sz w:val="21"/>
          <w:szCs w:val="21"/>
          <w:shd w:val="clear" w:color="auto" w:fill="FFFFFF"/>
        </w:rPr>
        <w:t xml:space="preserve">Mariusz </w:t>
      </w:r>
      <w:proofErr w:type="spellStart"/>
      <w:r w:rsidRPr="00176510">
        <w:rPr>
          <w:rFonts w:ascii="Poppins" w:hAnsi="Poppins" w:cs="Poppins"/>
          <w:b/>
          <w:bCs/>
          <w:color w:val="000000"/>
          <w:sz w:val="21"/>
          <w:szCs w:val="21"/>
          <w:shd w:val="clear" w:color="auto" w:fill="FFFFFF"/>
        </w:rPr>
        <w:t>Gajżewski</w:t>
      </w:r>
      <w:proofErr w:type="spellEnd"/>
      <w:r w:rsidRPr="00176510">
        <w:rPr>
          <w:rFonts w:ascii="Poppins" w:hAnsi="Poppins" w:cs="Poppins"/>
          <w:b/>
          <w:bCs/>
          <w:color w:val="000000"/>
          <w:sz w:val="21"/>
          <w:szCs w:val="21"/>
          <w:shd w:val="clear" w:color="auto" w:fill="FFFFFF"/>
        </w:rPr>
        <w:t xml:space="preserve">, </w:t>
      </w:r>
      <w:proofErr w:type="spellStart"/>
      <w:r w:rsidRPr="00176510">
        <w:rPr>
          <w:rFonts w:ascii="Poppins" w:hAnsi="Poppins" w:cs="Poppins"/>
          <w:b/>
          <w:bCs/>
          <w:color w:val="000000"/>
          <w:sz w:val="21"/>
          <w:szCs w:val="21"/>
          <w:shd w:val="clear" w:color="auto" w:fill="FFFFFF"/>
        </w:rPr>
        <w:t>Head</w:t>
      </w:r>
      <w:proofErr w:type="spellEnd"/>
      <w:r w:rsidRPr="00176510">
        <w:rPr>
          <w:rFonts w:ascii="Poppins" w:hAnsi="Poppins" w:cs="Poppins"/>
          <w:b/>
          <w:bCs/>
          <w:color w:val="000000"/>
          <w:sz w:val="21"/>
          <w:szCs w:val="21"/>
          <w:shd w:val="clear" w:color="auto" w:fill="FFFFFF"/>
        </w:rPr>
        <w:t xml:space="preserve"> of Sales, Marketing and </w:t>
      </w:r>
      <w:proofErr w:type="spellStart"/>
      <w:r w:rsidRPr="00176510">
        <w:rPr>
          <w:rFonts w:ascii="Poppins" w:hAnsi="Poppins" w:cs="Poppins"/>
          <w:b/>
          <w:bCs/>
          <w:color w:val="000000"/>
          <w:sz w:val="21"/>
          <w:szCs w:val="21"/>
          <w:shd w:val="clear" w:color="auto" w:fill="FFFFFF"/>
        </w:rPr>
        <w:t>Communication</w:t>
      </w:r>
      <w:proofErr w:type="spellEnd"/>
      <w:r w:rsidRPr="00176510">
        <w:rPr>
          <w:rFonts w:ascii="Poppins" w:hAnsi="Poppins" w:cs="Poppins"/>
          <w:b/>
          <w:bCs/>
          <w:color w:val="000000"/>
          <w:sz w:val="21"/>
          <w:szCs w:val="21"/>
          <w:shd w:val="clear" w:color="auto" w:fill="FFFFFF"/>
        </w:rPr>
        <w:t xml:space="preserve"> BPI Real </w:t>
      </w:r>
      <w:proofErr w:type="spellStart"/>
      <w:r w:rsidRPr="00176510">
        <w:rPr>
          <w:rFonts w:ascii="Poppins" w:hAnsi="Poppins" w:cs="Poppins"/>
          <w:b/>
          <w:bCs/>
          <w:color w:val="000000"/>
          <w:sz w:val="21"/>
          <w:szCs w:val="21"/>
          <w:shd w:val="clear" w:color="auto" w:fill="FFFFFF"/>
        </w:rPr>
        <w:t>Estate</w:t>
      </w:r>
      <w:proofErr w:type="spellEnd"/>
      <w:r w:rsidRPr="00176510">
        <w:rPr>
          <w:rFonts w:ascii="Poppins" w:hAnsi="Poppins" w:cs="Poppins"/>
          <w:b/>
          <w:bCs/>
          <w:color w:val="000000"/>
          <w:sz w:val="21"/>
          <w:szCs w:val="21"/>
          <w:shd w:val="clear" w:color="auto" w:fill="FFFFFF"/>
        </w:rPr>
        <w:t xml:space="preserve"> Poland</w:t>
      </w:r>
    </w:p>
    <w:p w14:paraId="14D9A6F0" w14:textId="1F7CC8F1" w:rsidR="00731F3A" w:rsidRDefault="00731F3A" w:rsidP="00176510">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176510">
        <w:rPr>
          <w:rFonts w:ascii="Poppins" w:hAnsi="Poppins" w:cs="Poppins"/>
          <w:color w:val="000000"/>
          <w:sz w:val="21"/>
          <w:szCs w:val="21"/>
          <w:shd w:val="clear" w:color="auto" w:fill="FFFFFF"/>
        </w:rPr>
        <w:t xml:space="preserve">Rok 2024 był dla nas okresem bardzo dynamicznym. Zakończyliśmy realizację 3 projektów: </w:t>
      </w:r>
      <w:proofErr w:type="spellStart"/>
      <w:r w:rsidRPr="00176510">
        <w:rPr>
          <w:rFonts w:ascii="Poppins" w:hAnsi="Poppins" w:cs="Poppins"/>
          <w:color w:val="000000"/>
          <w:sz w:val="21"/>
          <w:szCs w:val="21"/>
          <w:shd w:val="clear" w:color="auto" w:fill="FFFFFF"/>
        </w:rPr>
        <w:t>Bernadovo</w:t>
      </w:r>
      <w:proofErr w:type="spellEnd"/>
      <w:r w:rsidRPr="00176510">
        <w:rPr>
          <w:rFonts w:ascii="Poppins" w:hAnsi="Poppins" w:cs="Poppins"/>
          <w:color w:val="000000"/>
          <w:sz w:val="21"/>
          <w:szCs w:val="21"/>
          <w:shd w:val="clear" w:color="auto" w:fill="FFFFFF"/>
        </w:rPr>
        <w:t xml:space="preserve"> w Gdyni, </w:t>
      </w:r>
      <w:proofErr w:type="spellStart"/>
      <w:r w:rsidRPr="00176510">
        <w:rPr>
          <w:rFonts w:ascii="Poppins" w:hAnsi="Poppins" w:cs="Poppins"/>
          <w:color w:val="000000"/>
          <w:sz w:val="21"/>
          <w:szCs w:val="21"/>
          <w:shd w:val="clear" w:color="auto" w:fill="FFFFFF"/>
        </w:rPr>
        <w:t>Panoramiqa</w:t>
      </w:r>
      <w:proofErr w:type="spellEnd"/>
      <w:r w:rsidRPr="00176510">
        <w:rPr>
          <w:rFonts w:ascii="Poppins" w:hAnsi="Poppins" w:cs="Poppins"/>
          <w:color w:val="000000"/>
          <w:sz w:val="21"/>
          <w:szCs w:val="21"/>
          <w:shd w:val="clear" w:color="auto" w:fill="FFFFFF"/>
        </w:rPr>
        <w:t xml:space="preserve"> w Poznaniu oraz Czysta4 we Wrocławiu, których sprzedaż kontynuujemy. Prowadzimy pozostające w budowie inwestycje Chmielna Duo w Warszawie oraz </w:t>
      </w:r>
      <w:proofErr w:type="spellStart"/>
      <w:r w:rsidRPr="00176510">
        <w:rPr>
          <w:rFonts w:ascii="Poppins" w:hAnsi="Poppins" w:cs="Poppins"/>
          <w:color w:val="000000"/>
          <w:sz w:val="21"/>
          <w:szCs w:val="21"/>
          <w:shd w:val="clear" w:color="auto" w:fill="FFFFFF"/>
        </w:rPr>
        <w:t>Cavallia</w:t>
      </w:r>
      <w:proofErr w:type="spellEnd"/>
      <w:r w:rsidRPr="00176510">
        <w:rPr>
          <w:rFonts w:ascii="Poppins" w:hAnsi="Poppins" w:cs="Poppins"/>
          <w:color w:val="000000"/>
          <w:sz w:val="21"/>
          <w:szCs w:val="21"/>
          <w:shd w:val="clear" w:color="auto" w:fill="FFFFFF"/>
        </w:rPr>
        <w:t xml:space="preserve"> w Poznaniu, którą realizujemy we współpracy z </w:t>
      </w:r>
      <w:proofErr w:type="spellStart"/>
      <w:r w:rsidRPr="00176510">
        <w:rPr>
          <w:rFonts w:ascii="Poppins" w:hAnsi="Poppins" w:cs="Poppins"/>
          <w:color w:val="000000"/>
          <w:sz w:val="21"/>
          <w:szCs w:val="21"/>
          <w:shd w:val="clear" w:color="auto" w:fill="FFFFFF"/>
        </w:rPr>
        <w:t>Revive</w:t>
      </w:r>
      <w:proofErr w:type="spellEnd"/>
      <w:r w:rsidRPr="00176510">
        <w:rPr>
          <w:rFonts w:ascii="Poppins" w:hAnsi="Poppins" w:cs="Poppins"/>
          <w:color w:val="000000"/>
          <w:sz w:val="21"/>
          <w:szCs w:val="21"/>
          <w:shd w:val="clear" w:color="auto" w:fill="FFFFFF"/>
        </w:rPr>
        <w:t xml:space="preserve"> Poland. Przygotowujemy się także do wprowadzenia do sprzedaży kolejnego, najnowszego projektu mieszkaniowego </w:t>
      </w:r>
      <w:proofErr w:type="spellStart"/>
      <w:r w:rsidRPr="00176510">
        <w:rPr>
          <w:rFonts w:ascii="Poppins" w:hAnsi="Poppins" w:cs="Poppins"/>
          <w:color w:val="000000"/>
          <w:sz w:val="21"/>
          <w:szCs w:val="21"/>
          <w:shd w:val="clear" w:color="auto" w:fill="FFFFFF"/>
        </w:rPr>
        <w:t>PianoForte</w:t>
      </w:r>
      <w:proofErr w:type="spellEnd"/>
      <w:r w:rsidRPr="00176510">
        <w:rPr>
          <w:rFonts w:ascii="Poppins" w:hAnsi="Poppins" w:cs="Poppins"/>
          <w:color w:val="000000"/>
          <w:sz w:val="21"/>
          <w:szCs w:val="21"/>
          <w:shd w:val="clear" w:color="auto" w:fill="FFFFFF"/>
        </w:rPr>
        <w:t xml:space="preserve"> w Warszawie. Istotnym wyróżnikiem charakteryzującym naszych klientów, który zwrócił naszą uwagę był istotny wzrost zainteresowania zrównoważonymi rozwiązaniami. Kupujący kładą coraz większy nacisk na aspekty ekologiczne i energooszczędność budynków, co jest cechą charakterystyczną dla realizowanych przez nas projektów. </w:t>
      </w:r>
      <w:r w:rsidRPr="00176510">
        <w:rPr>
          <w:rFonts w:ascii="Poppins" w:hAnsi="Poppins" w:cs="Poppins"/>
          <w:color w:val="000000"/>
          <w:sz w:val="21"/>
          <w:szCs w:val="21"/>
          <w:shd w:val="clear" w:color="auto" w:fill="FFFFFF"/>
        </w:rPr>
        <w:br/>
        <w:t>W ujęciu rynkowym natomiast w mijającym roku nadal mieliśmy do czynienia wysokimi  stopami procentowymi, które bezpośrednio wpływały na dostępność kredytów hipotecznych, jak również z oczekiwaniami kupujących w związku z planowanym wprowadzeniem rządowego programu Mieszkanie na Start, co miało bezpośredni wpływ na przesunięcie decyzji o zakupie własnego mieszkania do czasu uruchomienia w/w programu. Podsumowując, rok 2024 był wymagający. Patrzymy jednak w przyszłość optymistycznie widząc perspektywy stabilizacji i możliwości dalszego rozwoju, zarówno w 2025 roku, jak i kolejnych latach. </w:t>
      </w:r>
    </w:p>
    <w:p w14:paraId="512BFDAC" w14:textId="77777777" w:rsidR="00731F3A" w:rsidRPr="00176510" w:rsidRDefault="00731F3A" w:rsidP="00731F3A">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176510">
        <w:rPr>
          <w:rFonts w:ascii="Poppins" w:hAnsi="Poppins" w:cs="Poppins"/>
          <w:b/>
          <w:bCs/>
          <w:color w:val="000000"/>
          <w:sz w:val="21"/>
          <w:szCs w:val="21"/>
          <w:shd w:val="clear" w:color="auto" w:fill="FFFFFF"/>
        </w:rPr>
        <w:t xml:space="preserve">Tomasz Łapiński, Prezes Zarządu i Dyrektor Zarządzający Inwestycjami Mieszkaniowymi w </w:t>
      </w:r>
      <w:proofErr w:type="spellStart"/>
      <w:r w:rsidRPr="00176510">
        <w:rPr>
          <w:rFonts w:ascii="Poppins" w:hAnsi="Poppins" w:cs="Poppins"/>
          <w:b/>
          <w:bCs/>
          <w:color w:val="000000"/>
          <w:sz w:val="21"/>
          <w:szCs w:val="21"/>
          <w:shd w:val="clear" w:color="auto" w:fill="FFFFFF"/>
        </w:rPr>
        <w:t>Cordia</w:t>
      </w:r>
      <w:proofErr w:type="spellEnd"/>
      <w:r w:rsidRPr="00176510">
        <w:rPr>
          <w:rFonts w:ascii="Poppins" w:hAnsi="Poppins" w:cs="Poppins"/>
          <w:b/>
          <w:bCs/>
          <w:color w:val="000000"/>
          <w:sz w:val="21"/>
          <w:szCs w:val="21"/>
          <w:shd w:val="clear" w:color="auto" w:fill="FFFFFF"/>
        </w:rPr>
        <w:t xml:space="preserve"> Polska</w:t>
      </w:r>
    </w:p>
    <w:p w14:paraId="1FAF8D39" w14:textId="77777777" w:rsidR="00731F3A" w:rsidRPr="00176510" w:rsidRDefault="00731F3A" w:rsidP="00731F3A">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176510">
        <w:rPr>
          <w:rFonts w:ascii="Poppins" w:hAnsi="Poppins" w:cs="Poppins"/>
          <w:color w:val="000000"/>
          <w:sz w:val="21"/>
          <w:szCs w:val="21"/>
          <w:shd w:val="clear" w:color="auto" w:fill="FFFFFF"/>
        </w:rPr>
        <w:t xml:space="preserve">Mijający 2024 rok na rynku nieruchomości mieszkaniowych nie był tak dynamiczny jak poprzedni, w którym funkcjonował rządowy program „Bezpieczny Kredyt 2%” wspierający młode osoby do 45. roku życia w zakupie pierwszego mieszkania. Zapowiedzi nowego programu #NaStart robiły nadzieję poszukującym swojego „m”, ale ostatecznie nie został on w tym roku uruchomiony. To spowodowało, że wiele osób zainteresowanych kupnem mieszkania wstrzymało się od decyzji. Rok 2024 przebiegał więc pod znakiem swego rodzaju zawieszenia, które negatywnie wpływało na powstawanie nowych, jak też sprzedaż już istniejących inwestycji. Te będące w ofercie </w:t>
      </w:r>
      <w:r w:rsidRPr="00176510">
        <w:rPr>
          <w:rFonts w:ascii="Poppins" w:hAnsi="Poppins" w:cs="Poppins"/>
          <w:color w:val="000000"/>
          <w:sz w:val="21"/>
          <w:szCs w:val="21"/>
          <w:shd w:val="clear" w:color="auto" w:fill="FFFFFF"/>
        </w:rPr>
        <w:lastRenderedPageBreak/>
        <w:t>sprzedaży, ze względu na wysokie stopy procentowe, chętniej były kupowane za gotówkę.</w:t>
      </w:r>
    </w:p>
    <w:p w14:paraId="2CC9801A" w14:textId="77777777" w:rsidR="00731F3A" w:rsidRPr="00176510" w:rsidRDefault="00731F3A" w:rsidP="00731F3A">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proofErr w:type="spellStart"/>
      <w:r w:rsidRPr="00176510">
        <w:rPr>
          <w:rFonts w:ascii="Poppins" w:hAnsi="Poppins" w:cs="Poppins"/>
          <w:color w:val="000000"/>
          <w:sz w:val="21"/>
          <w:szCs w:val="21"/>
          <w:shd w:val="clear" w:color="auto" w:fill="FFFFFF"/>
        </w:rPr>
        <w:t>Cordia</w:t>
      </w:r>
      <w:proofErr w:type="spellEnd"/>
      <w:r w:rsidRPr="00176510">
        <w:rPr>
          <w:rFonts w:ascii="Poppins" w:hAnsi="Poppins" w:cs="Poppins"/>
          <w:color w:val="000000"/>
          <w:sz w:val="21"/>
          <w:szCs w:val="21"/>
          <w:shd w:val="clear" w:color="auto" w:fill="FFFFFF"/>
        </w:rPr>
        <w:t xml:space="preserve"> Polska utrzymała w 2024 roku stabilny wzrost. Oddaliśmy do użytkowania kilka inwestycji, jak np. oferowane jeszcze w sprzedaży apartamenty w projektach Leśna Sonata w Sopocie czy Modena by </w:t>
      </w:r>
      <w:proofErr w:type="spellStart"/>
      <w:r w:rsidRPr="00176510">
        <w:rPr>
          <w:rFonts w:ascii="Poppins" w:hAnsi="Poppins" w:cs="Poppins"/>
          <w:color w:val="000000"/>
          <w:sz w:val="21"/>
          <w:szCs w:val="21"/>
          <w:shd w:val="clear" w:color="auto" w:fill="FFFFFF"/>
        </w:rPr>
        <w:t>Cordia</w:t>
      </w:r>
      <w:proofErr w:type="spellEnd"/>
      <w:r w:rsidRPr="00176510">
        <w:rPr>
          <w:rFonts w:ascii="Poppins" w:hAnsi="Poppins" w:cs="Poppins"/>
          <w:color w:val="000000"/>
          <w:sz w:val="21"/>
          <w:szCs w:val="21"/>
          <w:shd w:val="clear" w:color="auto" w:fill="FFFFFF"/>
        </w:rPr>
        <w:t xml:space="preserve"> w Poznaniu (I etap inwestycji). Zakończono też budowę osiedla Villa Jaśkowa Dolina w Gdańsku (II etap inwestycji – ostatni). W Trójmieście rozpoczęliśmy w tym roku nową inwestycję z sektora </w:t>
      </w:r>
      <w:proofErr w:type="spellStart"/>
      <w:r w:rsidRPr="00176510">
        <w:rPr>
          <w:rFonts w:ascii="Poppins" w:hAnsi="Poppins" w:cs="Poppins"/>
          <w:color w:val="000000"/>
          <w:sz w:val="21"/>
          <w:szCs w:val="21"/>
          <w:shd w:val="clear" w:color="auto" w:fill="FFFFFF"/>
        </w:rPr>
        <w:t>premium</w:t>
      </w:r>
      <w:proofErr w:type="spellEnd"/>
      <w:r w:rsidRPr="00176510">
        <w:rPr>
          <w:rFonts w:ascii="Poppins" w:hAnsi="Poppins" w:cs="Poppins"/>
          <w:color w:val="000000"/>
          <w:sz w:val="21"/>
          <w:szCs w:val="21"/>
          <w:shd w:val="clear" w:color="auto" w:fill="FFFFFF"/>
        </w:rPr>
        <w:t xml:space="preserve"> – Haffnera </w:t>
      </w:r>
      <w:proofErr w:type="spellStart"/>
      <w:r w:rsidRPr="00176510">
        <w:rPr>
          <w:rFonts w:ascii="Poppins" w:hAnsi="Poppins" w:cs="Poppins"/>
          <w:color w:val="000000"/>
          <w:sz w:val="21"/>
          <w:szCs w:val="21"/>
          <w:shd w:val="clear" w:color="auto" w:fill="FFFFFF"/>
        </w:rPr>
        <w:t>Residence</w:t>
      </w:r>
      <w:proofErr w:type="spellEnd"/>
      <w:r w:rsidRPr="00176510">
        <w:rPr>
          <w:rFonts w:ascii="Poppins" w:hAnsi="Poppins" w:cs="Poppins"/>
          <w:color w:val="000000"/>
          <w:sz w:val="21"/>
          <w:szCs w:val="21"/>
          <w:shd w:val="clear" w:color="auto" w:fill="FFFFFF"/>
        </w:rPr>
        <w:t xml:space="preserve"> w Sopocie. Kolejne dwa projekty, których sprzedaż i budowę rozpoczęliśmy w tym roku to: Hi Mokotów w Warszawie oraz </w:t>
      </w:r>
      <w:proofErr w:type="spellStart"/>
      <w:r w:rsidRPr="00176510">
        <w:rPr>
          <w:rFonts w:ascii="Poppins" w:hAnsi="Poppins" w:cs="Poppins"/>
          <w:color w:val="000000"/>
          <w:sz w:val="21"/>
          <w:szCs w:val="21"/>
          <w:shd w:val="clear" w:color="auto" w:fill="FFFFFF"/>
        </w:rPr>
        <w:t>Craft</w:t>
      </w:r>
      <w:proofErr w:type="spellEnd"/>
      <w:r w:rsidRPr="00176510">
        <w:rPr>
          <w:rFonts w:ascii="Poppins" w:hAnsi="Poppins" w:cs="Poppins"/>
          <w:color w:val="000000"/>
          <w:sz w:val="21"/>
          <w:szCs w:val="21"/>
          <w:shd w:val="clear" w:color="auto" w:fill="FFFFFF"/>
        </w:rPr>
        <w:t xml:space="preserve"> Zabłocie w Krakowie. W 2025 roku mamy w planach kilka nowych inwestycji: w Trójmieście, aglomeracji warszawskiej i w Poznaniu.</w:t>
      </w:r>
    </w:p>
    <w:p w14:paraId="5851B224" w14:textId="56CD0CC4" w:rsidR="00731F3A" w:rsidRDefault="00731F3A" w:rsidP="00176510">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176510">
        <w:rPr>
          <w:rFonts w:ascii="Poppins" w:hAnsi="Poppins" w:cs="Poppins"/>
          <w:color w:val="000000"/>
          <w:sz w:val="21"/>
          <w:szCs w:val="21"/>
          <w:shd w:val="clear" w:color="auto" w:fill="FFFFFF"/>
        </w:rPr>
        <w:t>Koniec 2024 r. konkludujemy postulatem, że Polsce potrzebna jest długofalowa polityka mieszkaniowa. Ostatnie lata pokazały, że rynek wymaga zaplanowanych działań, które regulując politykę kredytową i podaż, będą stymulowały popyt i stabilizowały sytuację mieszkaniową w Polsce. Jednak mimo wielu wyzwań, rynek deweloperski się rozwija, a inwestowanie w nieruchomości pozostaje atrakcyjną i bezpieczną opcją inwestycyjną Polaków.</w:t>
      </w:r>
    </w:p>
    <w:p w14:paraId="3A43CA04" w14:textId="77777777" w:rsidR="00731F3A" w:rsidRPr="00176510" w:rsidRDefault="00731F3A" w:rsidP="00731F3A">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176510">
        <w:rPr>
          <w:rFonts w:ascii="Poppins" w:hAnsi="Poppins" w:cs="Poppins"/>
          <w:b/>
          <w:bCs/>
          <w:color w:val="000000"/>
          <w:sz w:val="21"/>
          <w:szCs w:val="21"/>
          <w:shd w:val="clear" w:color="auto" w:fill="FFFFFF"/>
        </w:rPr>
        <w:t xml:space="preserve">Mirosław Bednarek, </w:t>
      </w:r>
      <w:proofErr w:type="spellStart"/>
      <w:r w:rsidRPr="00176510">
        <w:rPr>
          <w:rFonts w:ascii="Poppins" w:hAnsi="Poppins" w:cs="Poppins"/>
          <w:b/>
          <w:bCs/>
          <w:color w:val="000000"/>
          <w:sz w:val="21"/>
          <w:szCs w:val="21"/>
          <w:shd w:val="clear" w:color="auto" w:fill="FFFFFF"/>
        </w:rPr>
        <w:t>Regional</w:t>
      </w:r>
      <w:proofErr w:type="spellEnd"/>
      <w:r w:rsidRPr="00176510">
        <w:rPr>
          <w:rFonts w:ascii="Poppins" w:hAnsi="Poppins" w:cs="Poppins"/>
          <w:b/>
          <w:bCs/>
          <w:color w:val="000000"/>
          <w:sz w:val="21"/>
          <w:szCs w:val="21"/>
          <w:shd w:val="clear" w:color="auto" w:fill="FFFFFF"/>
        </w:rPr>
        <w:t xml:space="preserve"> Business </w:t>
      </w:r>
      <w:proofErr w:type="spellStart"/>
      <w:r w:rsidRPr="00176510">
        <w:rPr>
          <w:rFonts w:ascii="Poppins" w:hAnsi="Poppins" w:cs="Poppins"/>
          <w:b/>
          <w:bCs/>
          <w:color w:val="000000"/>
          <w:sz w:val="21"/>
          <w:szCs w:val="21"/>
          <w:shd w:val="clear" w:color="auto" w:fill="FFFFFF"/>
        </w:rPr>
        <w:t>Director</w:t>
      </w:r>
      <w:proofErr w:type="spellEnd"/>
      <w:r w:rsidRPr="00176510">
        <w:rPr>
          <w:rFonts w:ascii="Poppins" w:hAnsi="Poppins" w:cs="Poppins"/>
          <w:b/>
          <w:bCs/>
          <w:color w:val="000000"/>
          <w:sz w:val="21"/>
          <w:szCs w:val="21"/>
          <w:shd w:val="clear" w:color="auto" w:fill="FFFFFF"/>
        </w:rPr>
        <w:t xml:space="preserve">, Prezes </w:t>
      </w:r>
      <w:proofErr w:type="spellStart"/>
      <w:r w:rsidRPr="00176510">
        <w:rPr>
          <w:rFonts w:ascii="Poppins" w:hAnsi="Poppins" w:cs="Poppins"/>
          <w:b/>
          <w:bCs/>
          <w:color w:val="000000"/>
          <w:sz w:val="21"/>
          <w:szCs w:val="21"/>
          <w:shd w:val="clear" w:color="auto" w:fill="FFFFFF"/>
        </w:rPr>
        <w:t>Matexi</w:t>
      </w:r>
      <w:proofErr w:type="spellEnd"/>
      <w:r w:rsidRPr="00176510">
        <w:rPr>
          <w:rFonts w:ascii="Poppins" w:hAnsi="Poppins" w:cs="Poppins"/>
          <w:b/>
          <w:bCs/>
          <w:color w:val="000000"/>
          <w:sz w:val="21"/>
          <w:szCs w:val="21"/>
          <w:shd w:val="clear" w:color="auto" w:fill="FFFFFF"/>
        </w:rPr>
        <w:t xml:space="preserve"> Polska</w:t>
      </w:r>
    </w:p>
    <w:p w14:paraId="55A9CC26" w14:textId="77777777" w:rsidR="00731F3A" w:rsidRPr="00176510" w:rsidRDefault="00731F3A" w:rsidP="00731F3A">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176510">
        <w:rPr>
          <w:rFonts w:ascii="Poppins" w:hAnsi="Poppins" w:cs="Poppins"/>
          <w:color w:val="000000"/>
          <w:sz w:val="21"/>
          <w:szCs w:val="21"/>
          <w:shd w:val="clear" w:color="auto" w:fill="FFFFFF"/>
        </w:rPr>
        <w:t>Mijający 2024 rok był okresem stabilizacji na rynku nieruchomości, po dynamicznych zmianach w ostatnich latach. W kluczowych dla nas aglomeracjach takich jak Warszawa i Kraków rynek osiągnął równowagę. Stabilność popytu i podaży przełożyła się na wzrost cen nieruchomości zgodny z tempem inflacji.</w:t>
      </w:r>
    </w:p>
    <w:p w14:paraId="6E09BFB1" w14:textId="77777777" w:rsidR="00731F3A" w:rsidRPr="00176510" w:rsidRDefault="00731F3A" w:rsidP="00731F3A">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176510">
        <w:rPr>
          <w:rFonts w:ascii="Poppins" w:hAnsi="Poppins" w:cs="Poppins"/>
          <w:color w:val="000000"/>
          <w:sz w:val="21"/>
          <w:szCs w:val="21"/>
          <w:shd w:val="clear" w:color="auto" w:fill="FFFFFF"/>
        </w:rPr>
        <w:t xml:space="preserve">W 2024 roku w ramach </w:t>
      </w:r>
      <w:proofErr w:type="spellStart"/>
      <w:r w:rsidRPr="00176510">
        <w:rPr>
          <w:rFonts w:ascii="Poppins" w:hAnsi="Poppins" w:cs="Poppins"/>
          <w:color w:val="000000"/>
          <w:sz w:val="21"/>
          <w:szCs w:val="21"/>
          <w:shd w:val="clear" w:color="auto" w:fill="FFFFFF"/>
        </w:rPr>
        <w:t>Matexi</w:t>
      </w:r>
      <w:proofErr w:type="spellEnd"/>
      <w:r w:rsidRPr="00176510">
        <w:rPr>
          <w:rFonts w:ascii="Poppins" w:hAnsi="Poppins" w:cs="Poppins"/>
          <w:color w:val="000000"/>
          <w:sz w:val="21"/>
          <w:szCs w:val="21"/>
          <w:shd w:val="clear" w:color="auto" w:fill="FFFFFF"/>
        </w:rPr>
        <w:t xml:space="preserve"> Polska wprowadziliśmy do sprzedaży pięć projektów: z czego trzy w Warszawie (Splot Wola, Żelazna 54, XYZ Place) i dwa w Krakowie (Apartamenty Portowa, Takt Lirników). Wszystkie nowe inwestycje dostarczą łącznie 587 mieszkań. Pomimo stosunkowo trudnych warunków rynkowych, wynikających z dość  wysokiej inflacja przekładającej się na wyższe koszty kredytów hipotecznych oraz braku wsparcia rządowego dla nabywców mieszkań, wartość podpisanych przez nas umów deweloperskich osiągnie kwotę blisko 400 mln zł. Będzie to wynik tylko o 10% niższy od ubiegłorocznego, co potwierdza stabilność naszej pozycji i zaufanie klientów.</w:t>
      </w:r>
    </w:p>
    <w:p w14:paraId="325677EF" w14:textId="6F93C566" w:rsidR="00731F3A" w:rsidRPr="00176510" w:rsidRDefault="00731F3A" w:rsidP="00176510">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176510">
        <w:rPr>
          <w:rFonts w:ascii="Poppins" w:hAnsi="Poppins" w:cs="Poppins"/>
          <w:color w:val="000000"/>
          <w:sz w:val="21"/>
          <w:szCs w:val="21"/>
          <w:shd w:val="clear" w:color="auto" w:fill="FFFFFF"/>
        </w:rPr>
        <w:t xml:space="preserve">W mijającym roku zainwestowaliśmy także prawie 200 mln zł w zakup działek, m.in. na Mokotowie i Woli w Warszawie oraz w krakowskim Podgórzu </w:t>
      </w:r>
      <w:proofErr w:type="spellStart"/>
      <w:r w:rsidRPr="00176510">
        <w:rPr>
          <w:rFonts w:ascii="Poppins" w:hAnsi="Poppins" w:cs="Poppins"/>
          <w:color w:val="000000"/>
          <w:sz w:val="21"/>
          <w:szCs w:val="21"/>
          <w:shd w:val="clear" w:color="auto" w:fill="FFFFFF"/>
        </w:rPr>
        <w:t>Duchackim</w:t>
      </w:r>
      <w:proofErr w:type="spellEnd"/>
      <w:r w:rsidRPr="00176510">
        <w:rPr>
          <w:rFonts w:ascii="Poppins" w:hAnsi="Poppins" w:cs="Poppins"/>
          <w:color w:val="000000"/>
          <w:sz w:val="21"/>
          <w:szCs w:val="21"/>
          <w:shd w:val="clear" w:color="auto" w:fill="FFFFFF"/>
        </w:rPr>
        <w:t>. Takie działania przygotowują nas na przyszły dynamiczny rozwój. W przygotowaniu mamy ponad 3000 mieszkań. Posiadanie takiego banku ziemi plasuje nas w czołówce największych graczy na rynku.</w:t>
      </w:r>
    </w:p>
    <w:p w14:paraId="7E2937C0" w14:textId="77777777" w:rsidR="00176510" w:rsidRPr="00176510" w:rsidRDefault="00176510" w:rsidP="00176510">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176510">
        <w:rPr>
          <w:rFonts w:ascii="Poppins" w:hAnsi="Poppins" w:cs="Poppins"/>
          <w:b/>
          <w:bCs/>
          <w:color w:val="000000"/>
          <w:sz w:val="21"/>
          <w:szCs w:val="21"/>
          <w:shd w:val="clear" w:color="auto" w:fill="FFFFFF"/>
        </w:rPr>
        <w:t xml:space="preserve">Zbigniew </w:t>
      </w:r>
      <w:proofErr w:type="spellStart"/>
      <w:r w:rsidRPr="00176510">
        <w:rPr>
          <w:rFonts w:ascii="Poppins" w:hAnsi="Poppins" w:cs="Poppins"/>
          <w:b/>
          <w:bCs/>
          <w:color w:val="000000"/>
          <w:sz w:val="21"/>
          <w:szCs w:val="21"/>
          <w:shd w:val="clear" w:color="auto" w:fill="FFFFFF"/>
        </w:rPr>
        <w:t>Gościcki</w:t>
      </w:r>
      <w:proofErr w:type="spellEnd"/>
      <w:r w:rsidRPr="00176510">
        <w:rPr>
          <w:rFonts w:ascii="Poppins" w:hAnsi="Poppins" w:cs="Poppins"/>
          <w:b/>
          <w:bCs/>
          <w:color w:val="000000"/>
          <w:sz w:val="21"/>
          <w:szCs w:val="21"/>
          <w:shd w:val="clear" w:color="auto" w:fill="FFFFFF"/>
        </w:rPr>
        <w:t xml:space="preserve">, Prezes Zarządu </w:t>
      </w:r>
      <w:proofErr w:type="spellStart"/>
      <w:r w:rsidRPr="00176510">
        <w:rPr>
          <w:rFonts w:ascii="Poppins" w:hAnsi="Poppins" w:cs="Poppins"/>
          <w:b/>
          <w:bCs/>
          <w:color w:val="000000"/>
          <w:sz w:val="21"/>
          <w:szCs w:val="21"/>
          <w:shd w:val="clear" w:color="auto" w:fill="FFFFFF"/>
        </w:rPr>
        <w:t>Unidevelopment</w:t>
      </w:r>
      <w:proofErr w:type="spellEnd"/>
      <w:r w:rsidRPr="00176510">
        <w:rPr>
          <w:rFonts w:ascii="Poppins" w:hAnsi="Poppins" w:cs="Poppins"/>
          <w:b/>
          <w:bCs/>
          <w:color w:val="000000"/>
          <w:sz w:val="21"/>
          <w:szCs w:val="21"/>
          <w:shd w:val="clear" w:color="auto" w:fill="FFFFFF"/>
        </w:rPr>
        <w:t xml:space="preserve"> SA</w:t>
      </w:r>
    </w:p>
    <w:p w14:paraId="317C236C" w14:textId="77777777" w:rsidR="00176510" w:rsidRPr="00176510" w:rsidRDefault="00176510" w:rsidP="00176510">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176510">
        <w:rPr>
          <w:rFonts w:ascii="Poppins" w:hAnsi="Poppins" w:cs="Poppins"/>
          <w:color w:val="000000"/>
          <w:sz w:val="21"/>
          <w:szCs w:val="21"/>
          <w:shd w:val="clear" w:color="auto" w:fill="FFFFFF"/>
        </w:rPr>
        <w:t xml:space="preserve">Rok 2024 dosadnie pokazał, jak wymagająca może być działalność dewelopera mieszkaniowego. Realizacja nowych projektów w naszym kraju jest wciąż dodatkowo </w:t>
      </w:r>
      <w:r w:rsidRPr="00176510">
        <w:rPr>
          <w:rFonts w:ascii="Poppins" w:hAnsi="Poppins" w:cs="Poppins"/>
          <w:color w:val="000000"/>
          <w:sz w:val="21"/>
          <w:szCs w:val="21"/>
          <w:shd w:val="clear" w:color="auto" w:fill="FFFFFF"/>
        </w:rPr>
        <w:lastRenderedPageBreak/>
        <w:t>komplikowana przez przedłużające się procedury administracyjne i brak dostępnych gruntów pod kolejne inwestycje. W 2024 roku wyzwaniem były też skoki popytu. Początkowo był on napędzany przez „Kredyt 2%”, a następnie tłumiony m.in. przez niepewność związaną z wprowadzeniem nowego programu wspierającego kupujących. Połączenie tych wszystkich zmiennych było próbą dla firm w naszej branży. Utrudniało m.in. dopasowanie oferty do aktualnego zapotrzebowania rynku i przekładało się na zmiany cen.  </w:t>
      </w:r>
    </w:p>
    <w:p w14:paraId="0267C134" w14:textId="77777777" w:rsidR="00176510" w:rsidRPr="00176510" w:rsidRDefault="00176510" w:rsidP="00176510">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176510">
        <w:rPr>
          <w:rFonts w:ascii="Poppins" w:hAnsi="Poppins" w:cs="Poppins"/>
          <w:color w:val="000000"/>
          <w:sz w:val="21"/>
          <w:szCs w:val="21"/>
          <w:shd w:val="clear" w:color="auto" w:fill="FFFFFF"/>
        </w:rPr>
        <w:t>Jaka czeka nas przyszłość? Potencjał rynku mieszkaniowego i zapotrzebowanie na nowe inwestycje w naszym kraju są wciąż ogromne. By móc jeszcze lepiej na nie odpowiadać, potrzebujemy jednolitych i uproszczonych procedur administracyjnych oraz uwolnienia potencjału terenów, które obecnie nie mogą być wykorzystywane na cele mieszkaniowe. Nasz sektor oczekuje też od władz długofalowej strategii mieszkaniowej. </w:t>
      </w:r>
    </w:p>
    <w:p w14:paraId="75659727" w14:textId="5AFB846B" w:rsidR="00176510" w:rsidRDefault="00176510" w:rsidP="00176510">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176510">
        <w:rPr>
          <w:rFonts w:ascii="Poppins" w:hAnsi="Poppins" w:cs="Poppins"/>
          <w:color w:val="000000"/>
          <w:sz w:val="21"/>
          <w:szCs w:val="21"/>
          <w:shd w:val="clear" w:color="auto" w:fill="FFFFFF"/>
        </w:rPr>
        <w:t>Dotychczasowe doświadczenia pokazują, że zarówno w kontekście przyszłego roku, jak i w dalszej perspektywie musimy brać pod uwagę wiele scenariuszy. Na najbliższe 12 miesięcy możemy jednak patrzeć z pewnym optymizmem. Obecnie znacznie większe grono klientów niż jeszcze w połowie tego roku jest skłonnych do podejmowania decyzji zakupowych. Częściowo wiąże się to z faktem, że nie oczekują już na wsparcie w ramach programu „Kredyt na start”. W dalszej perspektywie jest szansa na jeszcze bardziej wyraźne odblokowanie popytu w związku z przewidywanymi obniżkami stóp procentowych. Monitorujemy również zapowiedzi dotyczące kompleksowego programu mieszkaniowego Ministerstwa Rozwoju i Technologii. Zaprezentowane ostatnio przez resort zapowiedzi w wielu obszarach pokrywają się z postulatami przedstawianymi przez naszą branżę. Czekamy więc na dalsze szczegóły tym zakresie. </w:t>
      </w:r>
    </w:p>
    <w:p w14:paraId="14F7D4E9" w14:textId="77777777" w:rsidR="00731F3A" w:rsidRPr="00176510" w:rsidRDefault="00731F3A" w:rsidP="00731F3A">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176510">
        <w:rPr>
          <w:rFonts w:ascii="Poppins" w:hAnsi="Poppins" w:cs="Poppins"/>
          <w:b/>
          <w:bCs/>
          <w:color w:val="000000"/>
          <w:sz w:val="21"/>
          <w:szCs w:val="21"/>
          <w:shd w:val="clear" w:color="auto" w:fill="FFFFFF"/>
        </w:rPr>
        <w:t xml:space="preserve">Renata </w:t>
      </w:r>
      <w:proofErr w:type="spellStart"/>
      <w:r w:rsidRPr="00176510">
        <w:rPr>
          <w:rFonts w:ascii="Poppins" w:hAnsi="Poppins" w:cs="Poppins"/>
          <w:b/>
          <w:bCs/>
          <w:color w:val="000000"/>
          <w:sz w:val="21"/>
          <w:szCs w:val="21"/>
          <w:shd w:val="clear" w:color="auto" w:fill="FFFFFF"/>
        </w:rPr>
        <w:t>McCabe</w:t>
      </w:r>
      <w:proofErr w:type="spellEnd"/>
      <w:r w:rsidRPr="00176510">
        <w:rPr>
          <w:rFonts w:ascii="Poppins" w:hAnsi="Poppins" w:cs="Poppins"/>
          <w:b/>
          <w:bCs/>
          <w:color w:val="000000"/>
          <w:sz w:val="21"/>
          <w:szCs w:val="21"/>
          <w:shd w:val="clear" w:color="auto" w:fill="FFFFFF"/>
        </w:rPr>
        <w:t>-Kudła</w:t>
      </w:r>
      <w:r w:rsidRPr="00176510">
        <w:rPr>
          <w:rFonts w:ascii="Poppins" w:hAnsi="Poppins" w:cs="Poppins"/>
          <w:color w:val="000000"/>
          <w:sz w:val="21"/>
          <w:szCs w:val="21"/>
          <w:shd w:val="clear" w:color="auto" w:fill="FFFFFF"/>
        </w:rPr>
        <w:t xml:space="preserve">, </w:t>
      </w:r>
      <w:r w:rsidRPr="00176510">
        <w:rPr>
          <w:rFonts w:ascii="Poppins" w:hAnsi="Poppins" w:cs="Poppins"/>
          <w:b/>
          <w:bCs/>
          <w:color w:val="000000"/>
          <w:sz w:val="21"/>
          <w:szCs w:val="21"/>
          <w:shd w:val="clear" w:color="auto" w:fill="FFFFFF"/>
        </w:rPr>
        <w:t>Country Manager, Grupo Lar Polska</w:t>
      </w:r>
    </w:p>
    <w:p w14:paraId="02AFA02D" w14:textId="77777777" w:rsidR="00731F3A" w:rsidRPr="00176510" w:rsidRDefault="00731F3A" w:rsidP="00731F3A">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176510">
        <w:rPr>
          <w:rFonts w:ascii="Poppins" w:hAnsi="Poppins" w:cs="Poppins"/>
          <w:color w:val="000000"/>
          <w:sz w:val="21"/>
          <w:szCs w:val="21"/>
          <w:shd w:val="clear" w:color="auto" w:fill="FFFFFF"/>
        </w:rPr>
        <w:t>Rok 2024 oceniamy jako dobry dla rynku mieszkaniowego w Warszawie. Kończymy sprzedaż w dwóch projektach, które realizowaliśmy w tym roku, czyli osiedlu Lizbońska na Saskiej Kępie oraz Ursynów#22 w pobliżu kampusu głównego SGGW. Tempo sprzedaży oceniamy jako zadowalające, ceny utrzymywały się na stabilnych poziomach. Zawirowania na rynku kredytów hipotecznych odczuliśmy tylko w bardzo niewielkim stopniu, co pozwala nam z optymizmem planować kolejne projekty, które uruchomimy w stolicy w przeciągu najbliższych 12 miesięcy.</w:t>
      </w:r>
    </w:p>
    <w:p w14:paraId="790020D0" w14:textId="7965F90E" w:rsidR="00731F3A" w:rsidRDefault="00731F3A" w:rsidP="00176510">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176510">
        <w:rPr>
          <w:rFonts w:ascii="Poppins" w:hAnsi="Poppins" w:cs="Poppins"/>
          <w:color w:val="000000"/>
          <w:sz w:val="21"/>
          <w:szCs w:val="21"/>
          <w:shd w:val="clear" w:color="auto" w:fill="FFFFFF"/>
        </w:rPr>
        <w:t>Jeśli chodzi o prognozy na 2025 roku, jesteśmy zdania, że projekty w atrakcyjnych lokalizacjach i z dobrze zaprojektowanymi mieszkaniami będą dalej dobrze się  sprzedawały. Podaż mieszkań w Warszawie dalej pozostaje dość ograniczona, a według nas rynek dla kupujących powinien się poprawić po zapowiadanych obniżkach stóp procentowych. Powinno zwiększyć zdolność kredytową części klientów, co obecnie jest największą bolączką osób planujących zakup nieruchomości mieszkaniowej. </w:t>
      </w:r>
    </w:p>
    <w:p w14:paraId="35CF2237" w14:textId="77777777" w:rsidR="00BA780D" w:rsidRPr="00176510" w:rsidRDefault="00BA780D" w:rsidP="00176510">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p>
    <w:p w14:paraId="24D5625E" w14:textId="77777777" w:rsidR="00176510" w:rsidRPr="00176510" w:rsidRDefault="00176510" w:rsidP="00176510">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176510">
        <w:rPr>
          <w:rFonts w:ascii="Poppins" w:hAnsi="Poppins" w:cs="Poppins"/>
          <w:b/>
          <w:bCs/>
          <w:color w:val="000000"/>
          <w:sz w:val="21"/>
          <w:szCs w:val="21"/>
          <w:shd w:val="clear" w:color="auto" w:fill="FFFFFF"/>
        </w:rPr>
        <w:lastRenderedPageBreak/>
        <w:t xml:space="preserve">Zbigniew </w:t>
      </w:r>
      <w:proofErr w:type="spellStart"/>
      <w:r w:rsidRPr="00176510">
        <w:rPr>
          <w:rFonts w:ascii="Poppins" w:hAnsi="Poppins" w:cs="Poppins"/>
          <w:b/>
          <w:bCs/>
          <w:color w:val="000000"/>
          <w:sz w:val="21"/>
          <w:szCs w:val="21"/>
          <w:shd w:val="clear" w:color="auto" w:fill="FFFFFF"/>
        </w:rPr>
        <w:t>Juroszek</w:t>
      </w:r>
      <w:proofErr w:type="spellEnd"/>
      <w:r w:rsidRPr="00176510">
        <w:rPr>
          <w:rFonts w:ascii="Poppins" w:hAnsi="Poppins" w:cs="Poppins"/>
          <w:b/>
          <w:bCs/>
          <w:color w:val="000000"/>
          <w:sz w:val="21"/>
          <w:szCs w:val="21"/>
          <w:shd w:val="clear" w:color="auto" w:fill="FFFFFF"/>
        </w:rPr>
        <w:t>, Prezes Zarządu ATAL</w:t>
      </w:r>
    </w:p>
    <w:p w14:paraId="292B7E73" w14:textId="77777777" w:rsidR="00176510" w:rsidRPr="00176510" w:rsidRDefault="00176510" w:rsidP="00176510">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176510">
        <w:rPr>
          <w:rFonts w:ascii="Poppins" w:hAnsi="Poppins" w:cs="Poppins"/>
          <w:color w:val="000000"/>
          <w:sz w:val="21"/>
          <w:szCs w:val="21"/>
          <w:shd w:val="clear" w:color="auto" w:fill="FFFFFF"/>
        </w:rPr>
        <w:t>Kluczowe dla popytu w 2024 roku okazało się najwyższe w Europie oprocentowanie hipotek, co odczuli zwłaszcza klienci poszukujący mieszkań w popularnym i średnim segmencie budownictwa mieszkaniowego. Rządowe dopłaty do kredytów hipotecznych nie były kluczowe, jednak brak rozstrzygnięć w tej sprawie był istotnym czynnikiem wstrzymującym decyzje zakupowe Polek i Polaków w 2024 roku.</w:t>
      </w:r>
    </w:p>
    <w:p w14:paraId="049ED481" w14:textId="77777777" w:rsidR="00176510" w:rsidRPr="00176510" w:rsidRDefault="00176510" w:rsidP="00176510">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176510">
        <w:rPr>
          <w:rFonts w:ascii="Poppins" w:hAnsi="Poppins" w:cs="Poppins"/>
          <w:color w:val="000000"/>
          <w:sz w:val="21"/>
          <w:szCs w:val="21"/>
          <w:shd w:val="clear" w:color="auto" w:fill="FFFFFF"/>
        </w:rPr>
        <w:t>Choć trudne otoczenie nie sprzyjało kontrakcji, deweloperom udało się osiągnąć lepsze, niż można było się tego spodziewać, wyniki sprzedażowe. Były one niższe od ubiegłorocznych, jednakże baza porównawcza była bardzo wymagająca ze względu na BK 2%.</w:t>
      </w:r>
    </w:p>
    <w:p w14:paraId="5C4AFA5B" w14:textId="77777777" w:rsidR="00176510" w:rsidRPr="00176510" w:rsidRDefault="00176510" w:rsidP="00176510">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176510">
        <w:rPr>
          <w:rFonts w:ascii="Poppins" w:hAnsi="Poppins" w:cs="Poppins"/>
          <w:color w:val="000000"/>
          <w:sz w:val="21"/>
          <w:szCs w:val="21"/>
          <w:shd w:val="clear" w:color="auto" w:fill="FFFFFF"/>
        </w:rPr>
        <w:t>Deweloperzy rozpoczęli dużo nowych inwestycji, co sprawiło, że podaż mieszkań istotnie wzrosła. Również ATAL w 2024 roku konsekwentnie realizował założony plan inwestycyjno-sprzedażowy, inicjując około 20 nowych projektów lub ich etapów. W ten sposób budujemy szerokie i zróżnicowane portfolio mieszkań, które zaspokoi popyt w różnych fazach rynkowej koniunktury, gdyż patrzymy na rynek w dłuższej perspektywie. Rozbudowaliśmy ponadto bank ziemi, jako bazę pod przyszłą działalność, nabywając grunty o wartości ponad 300 mln zł.</w:t>
      </w:r>
    </w:p>
    <w:p w14:paraId="43735651" w14:textId="77777777" w:rsidR="00176510" w:rsidRPr="00176510" w:rsidRDefault="00176510" w:rsidP="00176510">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176510">
        <w:rPr>
          <w:rFonts w:ascii="Poppins" w:hAnsi="Poppins" w:cs="Poppins"/>
          <w:color w:val="000000"/>
          <w:sz w:val="21"/>
          <w:szCs w:val="21"/>
          <w:shd w:val="clear" w:color="auto" w:fill="FFFFFF"/>
        </w:rPr>
        <w:t>Mając zapewnione finansowanie własne oraz pochodzące z wcześniejszych emisji akcji i obligacji na bardzo korzystnych warunkach, mogliśmy w środowisku wysokiego kosztu pieniądza prowadzić stabilną bilansowo działalność. Osiągnięcie satysfakcjonujących wyników finansowych z ukończonych projektów pozwala nam ponadto na kontynuowanie przyjętej polityki dywidendowej.</w:t>
      </w:r>
    </w:p>
    <w:p w14:paraId="3AC3326D" w14:textId="77777777" w:rsidR="00176510" w:rsidRPr="00176510" w:rsidRDefault="00176510" w:rsidP="00176510">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r w:rsidRPr="00176510">
        <w:rPr>
          <w:rFonts w:ascii="Poppins" w:hAnsi="Poppins" w:cs="Poppins"/>
          <w:color w:val="000000"/>
          <w:sz w:val="21"/>
          <w:szCs w:val="21"/>
          <w:shd w:val="clear" w:color="auto" w:fill="FFFFFF"/>
        </w:rPr>
        <w:t>Ważnym wydarzeniem w ramach rozwoju organicznego firmy było otwarcie w Szczecinie nowej – ósmej już – filii ATAL i rozpoczęcie w tej aglomeracji regularnej działalności. Dalej kontynuujemy rozwój wewnątrz organizacji, który pozwala nam coraz więcej działań prowadzić w ramach naszej firmy, ograniczając udział zewnętrznych dostawców.</w:t>
      </w:r>
    </w:p>
    <w:p w14:paraId="6ED9639B" w14:textId="2E6F0992" w:rsidR="00DA7EBE" w:rsidRDefault="00DA7EBE" w:rsidP="00176510">
      <w:pPr>
        <w:pBdr>
          <w:top w:val="nil"/>
          <w:left w:val="nil"/>
          <w:bottom w:val="nil"/>
          <w:right w:val="nil"/>
          <w:between w:val="nil"/>
        </w:pBdr>
        <w:spacing w:line="240" w:lineRule="auto"/>
        <w:jc w:val="both"/>
        <w:rPr>
          <w:rFonts w:ascii="Poppins" w:hAnsi="Poppins" w:cs="Poppins"/>
          <w:color w:val="000000"/>
          <w:sz w:val="21"/>
          <w:szCs w:val="21"/>
          <w:shd w:val="clear" w:color="auto" w:fill="FFFFFF"/>
        </w:rPr>
      </w:pPr>
    </w:p>
    <w:p w14:paraId="322AC0AE" w14:textId="77777777" w:rsidR="00F22366" w:rsidRPr="0034195C" w:rsidRDefault="00F22366" w:rsidP="00176510">
      <w:pPr>
        <w:pBdr>
          <w:top w:val="nil"/>
          <w:left w:val="nil"/>
          <w:bottom w:val="nil"/>
          <w:right w:val="nil"/>
          <w:between w:val="nil"/>
        </w:pBdr>
        <w:spacing w:line="240" w:lineRule="auto"/>
        <w:ind w:left="2" w:hanging="4"/>
        <w:jc w:val="both"/>
        <w:rPr>
          <w:rFonts w:ascii="Poppins" w:hAnsi="Poppins" w:cs="Poppins"/>
          <w:color w:val="000000"/>
          <w:sz w:val="21"/>
          <w:szCs w:val="21"/>
          <w:shd w:val="clear" w:color="auto" w:fill="FFFFFF"/>
        </w:rPr>
      </w:pPr>
    </w:p>
    <w:p w14:paraId="73C34524" w14:textId="50146AD4" w:rsidR="005630E9" w:rsidRPr="00D349E8" w:rsidRDefault="005630E9" w:rsidP="00176510">
      <w:pPr>
        <w:pBdr>
          <w:top w:val="nil"/>
          <w:left w:val="nil"/>
          <w:bottom w:val="nil"/>
          <w:right w:val="nil"/>
          <w:between w:val="nil"/>
        </w:pBdr>
        <w:spacing w:line="240" w:lineRule="auto"/>
        <w:ind w:left="284" w:hanging="710"/>
        <w:jc w:val="both"/>
        <w:rPr>
          <w:rFonts w:ascii="Poppins" w:hAnsi="Poppins" w:cs="Poppins"/>
          <w:b/>
          <w:bCs/>
          <w:color w:val="000000"/>
          <w:sz w:val="21"/>
          <w:szCs w:val="21"/>
          <w:shd w:val="clear" w:color="auto" w:fill="FFFFFF"/>
        </w:rPr>
      </w:pPr>
    </w:p>
    <w:sectPr w:rsidR="005630E9" w:rsidRPr="00D349E8" w:rsidSect="00F27760">
      <w:headerReference w:type="default" r:id="rId11"/>
      <w:pgSz w:w="11906" w:h="16838"/>
      <w:pgMar w:top="1417" w:right="1417" w:bottom="1417" w:left="1417" w:header="113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C7F67" w14:textId="77777777" w:rsidR="00D57124" w:rsidRDefault="00D57124" w:rsidP="00E533BD">
      <w:pPr>
        <w:spacing w:after="0" w:line="240" w:lineRule="auto"/>
      </w:pPr>
      <w:r>
        <w:separator/>
      </w:r>
    </w:p>
  </w:endnote>
  <w:endnote w:type="continuationSeparator" w:id="0">
    <w:p w14:paraId="7A6A0656" w14:textId="77777777" w:rsidR="00D57124" w:rsidRDefault="00D57124" w:rsidP="00E53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Poppins">
    <w:charset w:val="EE"/>
    <w:family w:val="auto"/>
    <w:pitch w:val="variable"/>
    <w:sig w:usb0="00008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1EC9A" w14:textId="77777777" w:rsidR="00D57124" w:rsidRDefault="00D57124" w:rsidP="00E533BD">
      <w:pPr>
        <w:spacing w:after="0" w:line="240" w:lineRule="auto"/>
      </w:pPr>
      <w:r>
        <w:separator/>
      </w:r>
    </w:p>
  </w:footnote>
  <w:footnote w:type="continuationSeparator" w:id="0">
    <w:p w14:paraId="45733793" w14:textId="77777777" w:rsidR="00D57124" w:rsidRDefault="00D57124" w:rsidP="00E53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C50F8" w14:textId="72FDD39E" w:rsidR="00E533BD" w:rsidRDefault="00081B1B" w:rsidP="00D34347">
    <w:pPr>
      <w:pStyle w:val="Nagwek"/>
      <w:tabs>
        <w:tab w:val="clear" w:pos="9072"/>
      </w:tabs>
    </w:pPr>
    <w:r>
      <w:rPr>
        <w:noProof/>
      </w:rPr>
      <w:drawing>
        <wp:anchor distT="0" distB="0" distL="114300" distR="114300" simplePos="0" relativeHeight="251657728" behindDoc="0" locked="0" layoutInCell="1" allowOverlap="1" wp14:anchorId="2F2222EF" wp14:editId="3503EF3D">
          <wp:simplePos x="0" y="0"/>
          <wp:positionH relativeFrom="page">
            <wp:posOffset>28575</wp:posOffset>
          </wp:positionH>
          <wp:positionV relativeFrom="paragraph">
            <wp:posOffset>-624205</wp:posOffset>
          </wp:positionV>
          <wp:extent cx="7496810" cy="1033145"/>
          <wp:effectExtent l="0" t="0" r="0" b="0"/>
          <wp:wrapThrough wrapText="bothSides">
            <wp:wrapPolygon edited="0">
              <wp:start x="1372" y="4779"/>
              <wp:lineTo x="1098" y="7169"/>
              <wp:lineTo x="878" y="9559"/>
              <wp:lineTo x="878" y="15533"/>
              <wp:lineTo x="9276" y="18321"/>
              <wp:lineTo x="19211" y="19516"/>
              <wp:lineTo x="20693" y="19516"/>
              <wp:lineTo x="20747" y="18321"/>
              <wp:lineTo x="18717" y="11948"/>
              <wp:lineTo x="18826" y="8364"/>
              <wp:lineTo x="16302" y="7567"/>
              <wp:lineTo x="1976" y="4779"/>
              <wp:lineTo x="1372" y="4779"/>
            </wp:wrapPolygon>
          </wp:wrapThrough>
          <wp:docPr id="1622622425" name="Graf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a 3"/>
                  <pic:cNvPicPr/>
                </pic:nvPicPr>
                <pic:blipFill>
                  <a:blip r:embed="rId1"/>
                  <a:srcRect l="7" r="7"/>
                  <a:stretch>
                    <a:fillRect/>
                  </a:stretch>
                </pic:blipFill>
                <pic:spPr>
                  <a:xfrm>
                    <a:off x="0" y="0"/>
                    <a:ext cx="7496810" cy="1033145"/>
                  </a:xfrm>
                  <a:prstGeom prst="rect">
                    <a:avLst/>
                  </a:prstGeom>
                </pic:spPr>
              </pic:pic>
            </a:graphicData>
          </a:graphic>
          <wp14:sizeRelH relativeFrom="margin">
            <wp14:pctWidth>0</wp14:pctWidth>
          </wp14:sizeRelH>
          <wp14:sizeRelV relativeFrom="margin">
            <wp14:pctHeight>0</wp14:pctHeight>
          </wp14:sizeRelV>
        </wp:anchor>
      </w:drawing>
    </w:r>
    <w:r w:rsidR="00D34347">
      <w:tab/>
    </w:r>
    <w:r w:rsidR="00FB7A20">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D4F24"/>
    <w:multiLevelType w:val="hybridMultilevel"/>
    <w:tmpl w:val="B874CF9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502B93"/>
    <w:multiLevelType w:val="hybridMultilevel"/>
    <w:tmpl w:val="CA967210"/>
    <w:lvl w:ilvl="0" w:tplc="0415000D">
      <w:start w:val="1"/>
      <w:numFmt w:val="bullet"/>
      <w:lvlText w:val=""/>
      <w:lvlJc w:val="left"/>
      <w:pPr>
        <w:ind w:left="718" w:hanging="360"/>
      </w:pPr>
      <w:rPr>
        <w:rFonts w:ascii="Wingdings" w:hAnsi="Wingdings" w:hint="default"/>
      </w:rPr>
    </w:lvl>
    <w:lvl w:ilvl="1" w:tplc="04150003" w:tentative="1">
      <w:start w:val="1"/>
      <w:numFmt w:val="bullet"/>
      <w:lvlText w:val="o"/>
      <w:lvlJc w:val="left"/>
      <w:pPr>
        <w:ind w:left="1438" w:hanging="360"/>
      </w:pPr>
      <w:rPr>
        <w:rFonts w:ascii="Courier New" w:hAnsi="Courier New" w:cs="Courier New" w:hint="default"/>
      </w:rPr>
    </w:lvl>
    <w:lvl w:ilvl="2" w:tplc="04150005" w:tentative="1">
      <w:start w:val="1"/>
      <w:numFmt w:val="bullet"/>
      <w:lvlText w:val=""/>
      <w:lvlJc w:val="left"/>
      <w:pPr>
        <w:ind w:left="2158" w:hanging="360"/>
      </w:pPr>
      <w:rPr>
        <w:rFonts w:ascii="Wingdings" w:hAnsi="Wingdings" w:hint="default"/>
      </w:rPr>
    </w:lvl>
    <w:lvl w:ilvl="3" w:tplc="04150001" w:tentative="1">
      <w:start w:val="1"/>
      <w:numFmt w:val="bullet"/>
      <w:lvlText w:val=""/>
      <w:lvlJc w:val="left"/>
      <w:pPr>
        <w:ind w:left="2878" w:hanging="360"/>
      </w:pPr>
      <w:rPr>
        <w:rFonts w:ascii="Symbol" w:hAnsi="Symbol" w:hint="default"/>
      </w:rPr>
    </w:lvl>
    <w:lvl w:ilvl="4" w:tplc="04150003" w:tentative="1">
      <w:start w:val="1"/>
      <w:numFmt w:val="bullet"/>
      <w:lvlText w:val="o"/>
      <w:lvlJc w:val="left"/>
      <w:pPr>
        <w:ind w:left="3598" w:hanging="360"/>
      </w:pPr>
      <w:rPr>
        <w:rFonts w:ascii="Courier New" w:hAnsi="Courier New" w:cs="Courier New" w:hint="default"/>
      </w:rPr>
    </w:lvl>
    <w:lvl w:ilvl="5" w:tplc="04150005" w:tentative="1">
      <w:start w:val="1"/>
      <w:numFmt w:val="bullet"/>
      <w:lvlText w:val=""/>
      <w:lvlJc w:val="left"/>
      <w:pPr>
        <w:ind w:left="4318" w:hanging="360"/>
      </w:pPr>
      <w:rPr>
        <w:rFonts w:ascii="Wingdings" w:hAnsi="Wingdings" w:hint="default"/>
      </w:rPr>
    </w:lvl>
    <w:lvl w:ilvl="6" w:tplc="04150001" w:tentative="1">
      <w:start w:val="1"/>
      <w:numFmt w:val="bullet"/>
      <w:lvlText w:val=""/>
      <w:lvlJc w:val="left"/>
      <w:pPr>
        <w:ind w:left="5038" w:hanging="360"/>
      </w:pPr>
      <w:rPr>
        <w:rFonts w:ascii="Symbol" w:hAnsi="Symbol" w:hint="default"/>
      </w:rPr>
    </w:lvl>
    <w:lvl w:ilvl="7" w:tplc="04150003" w:tentative="1">
      <w:start w:val="1"/>
      <w:numFmt w:val="bullet"/>
      <w:lvlText w:val="o"/>
      <w:lvlJc w:val="left"/>
      <w:pPr>
        <w:ind w:left="5758" w:hanging="360"/>
      </w:pPr>
      <w:rPr>
        <w:rFonts w:ascii="Courier New" w:hAnsi="Courier New" w:cs="Courier New" w:hint="default"/>
      </w:rPr>
    </w:lvl>
    <w:lvl w:ilvl="8" w:tplc="04150005" w:tentative="1">
      <w:start w:val="1"/>
      <w:numFmt w:val="bullet"/>
      <w:lvlText w:val=""/>
      <w:lvlJc w:val="left"/>
      <w:pPr>
        <w:ind w:left="6478" w:hanging="360"/>
      </w:pPr>
      <w:rPr>
        <w:rFonts w:ascii="Wingdings" w:hAnsi="Wingdings" w:hint="default"/>
      </w:rPr>
    </w:lvl>
  </w:abstractNum>
  <w:abstractNum w:abstractNumId="2" w15:restartNumberingAfterBreak="0">
    <w:nsid w:val="0C8907D8"/>
    <w:multiLevelType w:val="hybridMultilevel"/>
    <w:tmpl w:val="3FD4F78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7504B9"/>
    <w:multiLevelType w:val="hybridMultilevel"/>
    <w:tmpl w:val="99F8412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5D95C3A"/>
    <w:multiLevelType w:val="hybridMultilevel"/>
    <w:tmpl w:val="D054D80E"/>
    <w:lvl w:ilvl="0" w:tplc="0415000D">
      <w:start w:val="1"/>
      <w:numFmt w:val="bullet"/>
      <w:lvlText w:val=""/>
      <w:lvlJc w:val="left"/>
      <w:pPr>
        <w:ind w:left="718" w:hanging="360"/>
      </w:pPr>
      <w:rPr>
        <w:rFonts w:ascii="Wingdings" w:hAnsi="Wingdings" w:hint="default"/>
      </w:rPr>
    </w:lvl>
    <w:lvl w:ilvl="1" w:tplc="04150003" w:tentative="1">
      <w:start w:val="1"/>
      <w:numFmt w:val="bullet"/>
      <w:lvlText w:val="o"/>
      <w:lvlJc w:val="left"/>
      <w:pPr>
        <w:ind w:left="1438" w:hanging="360"/>
      </w:pPr>
      <w:rPr>
        <w:rFonts w:ascii="Courier New" w:hAnsi="Courier New" w:cs="Courier New" w:hint="default"/>
      </w:rPr>
    </w:lvl>
    <w:lvl w:ilvl="2" w:tplc="04150005" w:tentative="1">
      <w:start w:val="1"/>
      <w:numFmt w:val="bullet"/>
      <w:lvlText w:val=""/>
      <w:lvlJc w:val="left"/>
      <w:pPr>
        <w:ind w:left="2158" w:hanging="360"/>
      </w:pPr>
      <w:rPr>
        <w:rFonts w:ascii="Wingdings" w:hAnsi="Wingdings" w:hint="default"/>
      </w:rPr>
    </w:lvl>
    <w:lvl w:ilvl="3" w:tplc="04150001" w:tentative="1">
      <w:start w:val="1"/>
      <w:numFmt w:val="bullet"/>
      <w:lvlText w:val=""/>
      <w:lvlJc w:val="left"/>
      <w:pPr>
        <w:ind w:left="2878" w:hanging="360"/>
      </w:pPr>
      <w:rPr>
        <w:rFonts w:ascii="Symbol" w:hAnsi="Symbol" w:hint="default"/>
      </w:rPr>
    </w:lvl>
    <w:lvl w:ilvl="4" w:tplc="04150003" w:tentative="1">
      <w:start w:val="1"/>
      <w:numFmt w:val="bullet"/>
      <w:lvlText w:val="o"/>
      <w:lvlJc w:val="left"/>
      <w:pPr>
        <w:ind w:left="3598" w:hanging="360"/>
      </w:pPr>
      <w:rPr>
        <w:rFonts w:ascii="Courier New" w:hAnsi="Courier New" w:cs="Courier New" w:hint="default"/>
      </w:rPr>
    </w:lvl>
    <w:lvl w:ilvl="5" w:tplc="04150005" w:tentative="1">
      <w:start w:val="1"/>
      <w:numFmt w:val="bullet"/>
      <w:lvlText w:val=""/>
      <w:lvlJc w:val="left"/>
      <w:pPr>
        <w:ind w:left="4318" w:hanging="360"/>
      </w:pPr>
      <w:rPr>
        <w:rFonts w:ascii="Wingdings" w:hAnsi="Wingdings" w:hint="default"/>
      </w:rPr>
    </w:lvl>
    <w:lvl w:ilvl="6" w:tplc="04150001" w:tentative="1">
      <w:start w:val="1"/>
      <w:numFmt w:val="bullet"/>
      <w:lvlText w:val=""/>
      <w:lvlJc w:val="left"/>
      <w:pPr>
        <w:ind w:left="5038" w:hanging="360"/>
      </w:pPr>
      <w:rPr>
        <w:rFonts w:ascii="Symbol" w:hAnsi="Symbol" w:hint="default"/>
      </w:rPr>
    </w:lvl>
    <w:lvl w:ilvl="7" w:tplc="04150003" w:tentative="1">
      <w:start w:val="1"/>
      <w:numFmt w:val="bullet"/>
      <w:lvlText w:val="o"/>
      <w:lvlJc w:val="left"/>
      <w:pPr>
        <w:ind w:left="5758" w:hanging="360"/>
      </w:pPr>
      <w:rPr>
        <w:rFonts w:ascii="Courier New" w:hAnsi="Courier New" w:cs="Courier New" w:hint="default"/>
      </w:rPr>
    </w:lvl>
    <w:lvl w:ilvl="8" w:tplc="04150005" w:tentative="1">
      <w:start w:val="1"/>
      <w:numFmt w:val="bullet"/>
      <w:lvlText w:val=""/>
      <w:lvlJc w:val="left"/>
      <w:pPr>
        <w:ind w:left="6478" w:hanging="360"/>
      </w:pPr>
      <w:rPr>
        <w:rFonts w:ascii="Wingdings" w:hAnsi="Wingdings" w:hint="default"/>
      </w:rPr>
    </w:lvl>
  </w:abstractNum>
  <w:abstractNum w:abstractNumId="5" w15:restartNumberingAfterBreak="0">
    <w:nsid w:val="170C6DD8"/>
    <w:multiLevelType w:val="hybridMultilevel"/>
    <w:tmpl w:val="8A7AFF7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E24C1B"/>
    <w:multiLevelType w:val="hybridMultilevel"/>
    <w:tmpl w:val="BB182AB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DB28A0"/>
    <w:multiLevelType w:val="hybridMultilevel"/>
    <w:tmpl w:val="7BD64EF2"/>
    <w:lvl w:ilvl="0" w:tplc="0415000D">
      <w:start w:val="1"/>
      <w:numFmt w:val="bullet"/>
      <w:lvlText w:val=""/>
      <w:lvlJc w:val="left"/>
      <w:pPr>
        <w:ind w:left="718" w:hanging="360"/>
      </w:pPr>
      <w:rPr>
        <w:rFonts w:ascii="Wingdings" w:hAnsi="Wingdings" w:hint="default"/>
      </w:rPr>
    </w:lvl>
    <w:lvl w:ilvl="1" w:tplc="04150003" w:tentative="1">
      <w:start w:val="1"/>
      <w:numFmt w:val="bullet"/>
      <w:lvlText w:val="o"/>
      <w:lvlJc w:val="left"/>
      <w:pPr>
        <w:ind w:left="1438" w:hanging="360"/>
      </w:pPr>
      <w:rPr>
        <w:rFonts w:ascii="Courier New" w:hAnsi="Courier New" w:cs="Courier New" w:hint="default"/>
      </w:rPr>
    </w:lvl>
    <w:lvl w:ilvl="2" w:tplc="04150005" w:tentative="1">
      <w:start w:val="1"/>
      <w:numFmt w:val="bullet"/>
      <w:lvlText w:val=""/>
      <w:lvlJc w:val="left"/>
      <w:pPr>
        <w:ind w:left="2158" w:hanging="360"/>
      </w:pPr>
      <w:rPr>
        <w:rFonts w:ascii="Wingdings" w:hAnsi="Wingdings" w:hint="default"/>
      </w:rPr>
    </w:lvl>
    <w:lvl w:ilvl="3" w:tplc="04150001" w:tentative="1">
      <w:start w:val="1"/>
      <w:numFmt w:val="bullet"/>
      <w:lvlText w:val=""/>
      <w:lvlJc w:val="left"/>
      <w:pPr>
        <w:ind w:left="2878" w:hanging="360"/>
      </w:pPr>
      <w:rPr>
        <w:rFonts w:ascii="Symbol" w:hAnsi="Symbol" w:hint="default"/>
      </w:rPr>
    </w:lvl>
    <w:lvl w:ilvl="4" w:tplc="04150003" w:tentative="1">
      <w:start w:val="1"/>
      <w:numFmt w:val="bullet"/>
      <w:lvlText w:val="o"/>
      <w:lvlJc w:val="left"/>
      <w:pPr>
        <w:ind w:left="3598" w:hanging="360"/>
      </w:pPr>
      <w:rPr>
        <w:rFonts w:ascii="Courier New" w:hAnsi="Courier New" w:cs="Courier New" w:hint="default"/>
      </w:rPr>
    </w:lvl>
    <w:lvl w:ilvl="5" w:tplc="04150005" w:tentative="1">
      <w:start w:val="1"/>
      <w:numFmt w:val="bullet"/>
      <w:lvlText w:val=""/>
      <w:lvlJc w:val="left"/>
      <w:pPr>
        <w:ind w:left="4318" w:hanging="360"/>
      </w:pPr>
      <w:rPr>
        <w:rFonts w:ascii="Wingdings" w:hAnsi="Wingdings" w:hint="default"/>
      </w:rPr>
    </w:lvl>
    <w:lvl w:ilvl="6" w:tplc="04150001" w:tentative="1">
      <w:start w:val="1"/>
      <w:numFmt w:val="bullet"/>
      <w:lvlText w:val=""/>
      <w:lvlJc w:val="left"/>
      <w:pPr>
        <w:ind w:left="5038" w:hanging="360"/>
      </w:pPr>
      <w:rPr>
        <w:rFonts w:ascii="Symbol" w:hAnsi="Symbol" w:hint="default"/>
      </w:rPr>
    </w:lvl>
    <w:lvl w:ilvl="7" w:tplc="04150003" w:tentative="1">
      <w:start w:val="1"/>
      <w:numFmt w:val="bullet"/>
      <w:lvlText w:val="o"/>
      <w:lvlJc w:val="left"/>
      <w:pPr>
        <w:ind w:left="5758" w:hanging="360"/>
      </w:pPr>
      <w:rPr>
        <w:rFonts w:ascii="Courier New" w:hAnsi="Courier New" w:cs="Courier New" w:hint="default"/>
      </w:rPr>
    </w:lvl>
    <w:lvl w:ilvl="8" w:tplc="04150005" w:tentative="1">
      <w:start w:val="1"/>
      <w:numFmt w:val="bullet"/>
      <w:lvlText w:val=""/>
      <w:lvlJc w:val="left"/>
      <w:pPr>
        <w:ind w:left="6478" w:hanging="360"/>
      </w:pPr>
      <w:rPr>
        <w:rFonts w:ascii="Wingdings" w:hAnsi="Wingdings" w:hint="default"/>
      </w:rPr>
    </w:lvl>
  </w:abstractNum>
  <w:abstractNum w:abstractNumId="8" w15:restartNumberingAfterBreak="0">
    <w:nsid w:val="1A7D6E2F"/>
    <w:multiLevelType w:val="multilevel"/>
    <w:tmpl w:val="8AC6561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1B3F6738"/>
    <w:multiLevelType w:val="hybridMultilevel"/>
    <w:tmpl w:val="2D2E97E0"/>
    <w:lvl w:ilvl="0" w:tplc="0415000D">
      <w:start w:val="1"/>
      <w:numFmt w:val="bullet"/>
      <w:lvlText w:val=""/>
      <w:lvlJc w:val="left"/>
      <w:pPr>
        <w:ind w:left="718" w:hanging="360"/>
      </w:pPr>
      <w:rPr>
        <w:rFonts w:ascii="Wingdings" w:hAnsi="Wingdings" w:hint="default"/>
      </w:rPr>
    </w:lvl>
    <w:lvl w:ilvl="1" w:tplc="04150003" w:tentative="1">
      <w:start w:val="1"/>
      <w:numFmt w:val="bullet"/>
      <w:lvlText w:val="o"/>
      <w:lvlJc w:val="left"/>
      <w:pPr>
        <w:ind w:left="1438" w:hanging="360"/>
      </w:pPr>
      <w:rPr>
        <w:rFonts w:ascii="Courier New" w:hAnsi="Courier New" w:cs="Courier New" w:hint="default"/>
      </w:rPr>
    </w:lvl>
    <w:lvl w:ilvl="2" w:tplc="04150005" w:tentative="1">
      <w:start w:val="1"/>
      <w:numFmt w:val="bullet"/>
      <w:lvlText w:val=""/>
      <w:lvlJc w:val="left"/>
      <w:pPr>
        <w:ind w:left="2158" w:hanging="360"/>
      </w:pPr>
      <w:rPr>
        <w:rFonts w:ascii="Wingdings" w:hAnsi="Wingdings" w:hint="default"/>
      </w:rPr>
    </w:lvl>
    <w:lvl w:ilvl="3" w:tplc="04150001" w:tentative="1">
      <w:start w:val="1"/>
      <w:numFmt w:val="bullet"/>
      <w:lvlText w:val=""/>
      <w:lvlJc w:val="left"/>
      <w:pPr>
        <w:ind w:left="2878" w:hanging="360"/>
      </w:pPr>
      <w:rPr>
        <w:rFonts w:ascii="Symbol" w:hAnsi="Symbol" w:hint="default"/>
      </w:rPr>
    </w:lvl>
    <w:lvl w:ilvl="4" w:tplc="04150003" w:tentative="1">
      <w:start w:val="1"/>
      <w:numFmt w:val="bullet"/>
      <w:lvlText w:val="o"/>
      <w:lvlJc w:val="left"/>
      <w:pPr>
        <w:ind w:left="3598" w:hanging="360"/>
      </w:pPr>
      <w:rPr>
        <w:rFonts w:ascii="Courier New" w:hAnsi="Courier New" w:cs="Courier New" w:hint="default"/>
      </w:rPr>
    </w:lvl>
    <w:lvl w:ilvl="5" w:tplc="04150005" w:tentative="1">
      <w:start w:val="1"/>
      <w:numFmt w:val="bullet"/>
      <w:lvlText w:val=""/>
      <w:lvlJc w:val="left"/>
      <w:pPr>
        <w:ind w:left="4318" w:hanging="360"/>
      </w:pPr>
      <w:rPr>
        <w:rFonts w:ascii="Wingdings" w:hAnsi="Wingdings" w:hint="default"/>
      </w:rPr>
    </w:lvl>
    <w:lvl w:ilvl="6" w:tplc="04150001" w:tentative="1">
      <w:start w:val="1"/>
      <w:numFmt w:val="bullet"/>
      <w:lvlText w:val=""/>
      <w:lvlJc w:val="left"/>
      <w:pPr>
        <w:ind w:left="5038" w:hanging="360"/>
      </w:pPr>
      <w:rPr>
        <w:rFonts w:ascii="Symbol" w:hAnsi="Symbol" w:hint="default"/>
      </w:rPr>
    </w:lvl>
    <w:lvl w:ilvl="7" w:tplc="04150003" w:tentative="1">
      <w:start w:val="1"/>
      <w:numFmt w:val="bullet"/>
      <w:lvlText w:val="o"/>
      <w:lvlJc w:val="left"/>
      <w:pPr>
        <w:ind w:left="5758" w:hanging="360"/>
      </w:pPr>
      <w:rPr>
        <w:rFonts w:ascii="Courier New" w:hAnsi="Courier New" w:cs="Courier New" w:hint="default"/>
      </w:rPr>
    </w:lvl>
    <w:lvl w:ilvl="8" w:tplc="04150005" w:tentative="1">
      <w:start w:val="1"/>
      <w:numFmt w:val="bullet"/>
      <w:lvlText w:val=""/>
      <w:lvlJc w:val="left"/>
      <w:pPr>
        <w:ind w:left="6478" w:hanging="360"/>
      </w:pPr>
      <w:rPr>
        <w:rFonts w:ascii="Wingdings" w:hAnsi="Wingdings" w:hint="default"/>
      </w:rPr>
    </w:lvl>
  </w:abstractNum>
  <w:abstractNum w:abstractNumId="10" w15:restartNumberingAfterBreak="0">
    <w:nsid w:val="1C7A31A6"/>
    <w:multiLevelType w:val="hybridMultilevel"/>
    <w:tmpl w:val="CC7EB32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D1200E3"/>
    <w:multiLevelType w:val="hybridMultilevel"/>
    <w:tmpl w:val="4CFA638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E3050E1"/>
    <w:multiLevelType w:val="hybridMultilevel"/>
    <w:tmpl w:val="F74E315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EB53791"/>
    <w:multiLevelType w:val="hybridMultilevel"/>
    <w:tmpl w:val="D4868F2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FB05675"/>
    <w:multiLevelType w:val="hybridMultilevel"/>
    <w:tmpl w:val="16BCA15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FDF65A1"/>
    <w:multiLevelType w:val="hybridMultilevel"/>
    <w:tmpl w:val="252A27DE"/>
    <w:lvl w:ilvl="0" w:tplc="0415000D">
      <w:start w:val="1"/>
      <w:numFmt w:val="bullet"/>
      <w:lvlText w:val=""/>
      <w:lvlJc w:val="left"/>
      <w:pPr>
        <w:ind w:left="718" w:hanging="360"/>
      </w:pPr>
      <w:rPr>
        <w:rFonts w:ascii="Wingdings" w:hAnsi="Wingdings" w:hint="default"/>
      </w:rPr>
    </w:lvl>
    <w:lvl w:ilvl="1" w:tplc="04150003" w:tentative="1">
      <w:start w:val="1"/>
      <w:numFmt w:val="bullet"/>
      <w:lvlText w:val="o"/>
      <w:lvlJc w:val="left"/>
      <w:pPr>
        <w:ind w:left="1438" w:hanging="360"/>
      </w:pPr>
      <w:rPr>
        <w:rFonts w:ascii="Courier New" w:hAnsi="Courier New" w:cs="Courier New" w:hint="default"/>
      </w:rPr>
    </w:lvl>
    <w:lvl w:ilvl="2" w:tplc="04150005" w:tentative="1">
      <w:start w:val="1"/>
      <w:numFmt w:val="bullet"/>
      <w:lvlText w:val=""/>
      <w:lvlJc w:val="left"/>
      <w:pPr>
        <w:ind w:left="2158" w:hanging="360"/>
      </w:pPr>
      <w:rPr>
        <w:rFonts w:ascii="Wingdings" w:hAnsi="Wingdings" w:hint="default"/>
      </w:rPr>
    </w:lvl>
    <w:lvl w:ilvl="3" w:tplc="04150001" w:tentative="1">
      <w:start w:val="1"/>
      <w:numFmt w:val="bullet"/>
      <w:lvlText w:val=""/>
      <w:lvlJc w:val="left"/>
      <w:pPr>
        <w:ind w:left="2878" w:hanging="360"/>
      </w:pPr>
      <w:rPr>
        <w:rFonts w:ascii="Symbol" w:hAnsi="Symbol" w:hint="default"/>
      </w:rPr>
    </w:lvl>
    <w:lvl w:ilvl="4" w:tplc="04150003" w:tentative="1">
      <w:start w:val="1"/>
      <w:numFmt w:val="bullet"/>
      <w:lvlText w:val="o"/>
      <w:lvlJc w:val="left"/>
      <w:pPr>
        <w:ind w:left="3598" w:hanging="360"/>
      </w:pPr>
      <w:rPr>
        <w:rFonts w:ascii="Courier New" w:hAnsi="Courier New" w:cs="Courier New" w:hint="default"/>
      </w:rPr>
    </w:lvl>
    <w:lvl w:ilvl="5" w:tplc="04150005" w:tentative="1">
      <w:start w:val="1"/>
      <w:numFmt w:val="bullet"/>
      <w:lvlText w:val=""/>
      <w:lvlJc w:val="left"/>
      <w:pPr>
        <w:ind w:left="4318" w:hanging="360"/>
      </w:pPr>
      <w:rPr>
        <w:rFonts w:ascii="Wingdings" w:hAnsi="Wingdings" w:hint="default"/>
      </w:rPr>
    </w:lvl>
    <w:lvl w:ilvl="6" w:tplc="04150001" w:tentative="1">
      <w:start w:val="1"/>
      <w:numFmt w:val="bullet"/>
      <w:lvlText w:val=""/>
      <w:lvlJc w:val="left"/>
      <w:pPr>
        <w:ind w:left="5038" w:hanging="360"/>
      </w:pPr>
      <w:rPr>
        <w:rFonts w:ascii="Symbol" w:hAnsi="Symbol" w:hint="default"/>
      </w:rPr>
    </w:lvl>
    <w:lvl w:ilvl="7" w:tplc="04150003" w:tentative="1">
      <w:start w:val="1"/>
      <w:numFmt w:val="bullet"/>
      <w:lvlText w:val="o"/>
      <w:lvlJc w:val="left"/>
      <w:pPr>
        <w:ind w:left="5758" w:hanging="360"/>
      </w:pPr>
      <w:rPr>
        <w:rFonts w:ascii="Courier New" w:hAnsi="Courier New" w:cs="Courier New" w:hint="default"/>
      </w:rPr>
    </w:lvl>
    <w:lvl w:ilvl="8" w:tplc="04150005" w:tentative="1">
      <w:start w:val="1"/>
      <w:numFmt w:val="bullet"/>
      <w:lvlText w:val=""/>
      <w:lvlJc w:val="left"/>
      <w:pPr>
        <w:ind w:left="6478" w:hanging="360"/>
      </w:pPr>
      <w:rPr>
        <w:rFonts w:ascii="Wingdings" w:hAnsi="Wingdings" w:hint="default"/>
      </w:rPr>
    </w:lvl>
  </w:abstractNum>
  <w:abstractNum w:abstractNumId="16" w15:restartNumberingAfterBreak="0">
    <w:nsid w:val="216F66D4"/>
    <w:multiLevelType w:val="hybridMultilevel"/>
    <w:tmpl w:val="5882F52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2097492"/>
    <w:multiLevelType w:val="hybridMultilevel"/>
    <w:tmpl w:val="A670C8C8"/>
    <w:lvl w:ilvl="0" w:tplc="0415000D">
      <w:start w:val="1"/>
      <w:numFmt w:val="bullet"/>
      <w:lvlText w:val=""/>
      <w:lvlJc w:val="left"/>
      <w:pPr>
        <w:ind w:left="718" w:hanging="360"/>
      </w:pPr>
      <w:rPr>
        <w:rFonts w:ascii="Wingdings" w:hAnsi="Wingdings" w:hint="default"/>
      </w:rPr>
    </w:lvl>
    <w:lvl w:ilvl="1" w:tplc="04150003" w:tentative="1">
      <w:start w:val="1"/>
      <w:numFmt w:val="bullet"/>
      <w:lvlText w:val="o"/>
      <w:lvlJc w:val="left"/>
      <w:pPr>
        <w:ind w:left="1438" w:hanging="360"/>
      </w:pPr>
      <w:rPr>
        <w:rFonts w:ascii="Courier New" w:hAnsi="Courier New" w:cs="Courier New" w:hint="default"/>
      </w:rPr>
    </w:lvl>
    <w:lvl w:ilvl="2" w:tplc="04150005" w:tentative="1">
      <w:start w:val="1"/>
      <w:numFmt w:val="bullet"/>
      <w:lvlText w:val=""/>
      <w:lvlJc w:val="left"/>
      <w:pPr>
        <w:ind w:left="2158" w:hanging="360"/>
      </w:pPr>
      <w:rPr>
        <w:rFonts w:ascii="Wingdings" w:hAnsi="Wingdings" w:hint="default"/>
      </w:rPr>
    </w:lvl>
    <w:lvl w:ilvl="3" w:tplc="04150001" w:tentative="1">
      <w:start w:val="1"/>
      <w:numFmt w:val="bullet"/>
      <w:lvlText w:val=""/>
      <w:lvlJc w:val="left"/>
      <w:pPr>
        <w:ind w:left="2878" w:hanging="360"/>
      </w:pPr>
      <w:rPr>
        <w:rFonts w:ascii="Symbol" w:hAnsi="Symbol" w:hint="default"/>
      </w:rPr>
    </w:lvl>
    <w:lvl w:ilvl="4" w:tplc="04150003" w:tentative="1">
      <w:start w:val="1"/>
      <w:numFmt w:val="bullet"/>
      <w:lvlText w:val="o"/>
      <w:lvlJc w:val="left"/>
      <w:pPr>
        <w:ind w:left="3598" w:hanging="360"/>
      </w:pPr>
      <w:rPr>
        <w:rFonts w:ascii="Courier New" w:hAnsi="Courier New" w:cs="Courier New" w:hint="default"/>
      </w:rPr>
    </w:lvl>
    <w:lvl w:ilvl="5" w:tplc="04150005" w:tentative="1">
      <w:start w:val="1"/>
      <w:numFmt w:val="bullet"/>
      <w:lvlText w:val=""/>
      <w:lvlJc w:val="left"/>
      <w:pPr>
        <w:ind w:left="4318" w:hanging="360"/>
      </w:pPr>
      <w:rPr>
        <w:rFonts w:ascii="Wingdings" w:hAnsi="Wingdings" w:hint="default"/>
      </w:rPr>
    </w:lvl>
    <w:lvl w:ilvl="6" w:tplc="04150001" w:tentative="1">
      <w:start w:val="1"/>
      <w:numFmt w:val="bullet"/>
      <w:lvlText w:val=""/>
      <w:lvlJc w:val="left"/>
      <w:pPr>
        <w:ind w:left="5038" w:hanging="360"/>
      </w:pPr>
      <w:rPr>
        <w:rFonts w:ascii="Symbol" w:hAnsi="Symbol" w:hint="default"/>
      </w:rPr>
    </w:lvl>
    <w:lvl w:ilvl="7" w:tplc="04150003" w:tentative="1">
      <w:start w:val="1"/>
      <w:numFmt w:val="bullet"/>
      <w:lvlText w:val="o"/>
      <w:lvlJc w:val="left"/>
      <w:pPr>
        <w:ind w:left="5758" w:hanging="360"/>
      </w:pPr>
      <w:rPr>
        <w:rFonts w:ascii="Courier New" w:hAnsi="Courier New" w:cs="Courier New" w:hint="default"/>
      </w:rPr>
    </w:lvl>
    <w:lvl w:ilvl="8" w:tplc="04150005" w:tentative="1">
      <w:start w:val="1"/>
      <w:numFmt w:val="bullet"/>
      <w:lvlText w:val=""/>
      <w:lvlJc w:val="left"/>
      <w:pPr>
        <w:ind w:left="6478" w:hanging="360"/>
      </w:pPr>
      <w:rPr>
        <w:rFonts w:ascii="Wingdings" w:hAnsi="Wingdings" w:hint="default"/>
      </w:rPr>
    </w:lvl>
  </w:abstractNum>
  <w:abstractNum w:abstractNumId="18" w15:restartNumberingAfterBreak="0">
    <w:nsid w:val="240C08A8"/>
    <w:multiLevelType w:val="hybridMultilevel"/>
    <w:tmpl w:val="A8821E52"/>
    <w:lvl w:ilvl="0" w:tplc="0415000D">
      <w:start w:val="1"/>
      <w:numFmt w:val="bullet"/>
      <w:lvlText w:val=""/>
      <w:lvlJc w:val="left"/>
      <w:pPr>
        <w:ind w:left="718" w:hanging="360"/>
      </w:pPr>
      <w:rPr>
        <w:rFonts w:ascii="Wingdings" w:hAnsi="Wingdings" w:hint="default"/>
      </w:rPr>
    </w:lvl>
    <w:lvl w:ilvl="1" w:tplc="04150003" w:tentative="1">
      <w:start w:val="1"/>
      <w:numFmt w:val="bullet"/>
      <w:lvlText w:val="o"/>
      <w:lvlJc w:val="left"/>
      <w:pPr>
        <w:ind w:left="1438" w:hanging="360"/>
      </w:pPr>
      <w:rPr>
        <w:rFonts w:ascii="Courier New" w:hAnsi="Courier New" w:cs="Courier New" w:hint="default"/>
      </w:rPr>
    </w:lvl>
    <w:lvl w:ilvl="2" w:tplc="04150005" w:tentative="1">
      <w:start w:val="1"/>
      <w:numFmt w:val="bullet"/>
      <w:lvlText w:val=""/>
      <w:lvlJc w:val="left"/>
      <w:pPr>
        <w:ind w:left="2158" w:hanging="360"/>
      </w:pPr>
      <w:rPr>
        <w:rFonts w:ascii="Wingdings" w:hAnsi="Wingdings" w:hint="default"/>
      </w:rPr>
    </w:lvl>
    <w:lvl w:ilvl="3" w:tplc="04150001" w:tentative="1">
      <w:start w:val="1"/>
      <w:numFmt w:val="bullet"/>
      <w:lvlText w:val=""/>
      <w:lvlJc w:val="left"/>
      <w:pPr>
        <w:ind w:left="2878" w:hanging="360"/>
      </w:pPr>
      <w:rPr>
        <w:rFonts w:ascii="Symbol" w:hAnsi="Symbol" w:hint="default"/>
      </w:rPr>
    </w:lvl>
    <w:lvl w:ilvl="4" w:tplc="04150003" w:tentative="1">
      <w:start w:val="1"/>
      <w:numFmt w:val="bullet"/>
      <w:lvlText w:val="o"/>
      <w:lvlJc w:val="left"/>
      <w:pPr>
        <w:ind w:left="3598" w:hanging="360"/>
      </w:pPr>
      <w:rPr>
        <w:rFonts w:ascii="Courier New" w:hAnsi="Courier New" w:cs="Courier New" w:hint="default"/>
      </w:rPr>
    </w:lvl>
    <w:lvl w:ilvl="5" w:tplc="04150005" w:tentative="1">
      <w:start w:val="1"/>
      <w:numFmt w:val="bullet"/>
      <w:lvlText w:val=""/>
      <w:lvlJc w:val="left"/>
      <w:pPr>
        <w:ind w:left="4318" w:hanging="360"/>
      </w:pPr>
      <w:rPr>
        <w:rFonts w:ascii="Wingdings" w:hAnsi="Wingdings" w:hint="default"/>
      </w:rPr>
    </w:lvl>
    <w:lvl w:ilvl="6" w:tplc="04150001" w:tentative="1">
      <w:start w:val="1"/>
      <w:numFmt w:val="bullet"/>
      <w:lvlText w:val=""/>
      <w:lvlJc w:val="left"/>
      <w:pPr>
        <w:ind w:left="5038" w:hanging="360"/>
      </w:pPr>
      <w:rPr>
        <w:rFonts w:ascii="Symbol" w:hAnsi="Symbol" w:hint="default"/>
      </w:rPr>
    </w:lvl>
    <w:lvl w:ilvl="7" w:tplc="04150003" w:tentative="1">
      <w:start w:val="1"/>
      <w:numFmt w:val="bullet"/>
      <w:lvlText w:val="o"/>
      <w:lvlJc w:val="left"/>
      <w:pPr>
        <w:ind w:left="5758" w:hanging="360"/>
      </w:pPr>
      <w:rPr>
        <w:rFonts w:ascii="Courier New" w:hAnsi="Courier New" w:cs="Courier New" w:hint="default"/>
      </w:rPr>
    </w:lvl>
    <w:lvl w:ilvl="8" w:tplc="04150005" w:tentative="1">
      <w:start w:val="1"/>
      <w:numFmt w:val="bullet"/>
      <w:lvlText w:val=""/>
      <w:lvlJc w:val="left"/>
      <w:pPr>
        <w:ind w:left="6478" w:hanging="360"/>
      </w:pPr>
      <w:rPr>
        <w:rFonts w:ascii="Wingdings" w:hAnsi="Wingdings" w:hint="default"/>
      </w:rPr>
    </w:lvl>
  </w:abstractNum>
  <w:abstractNum w:abstractNumId="19" w15:restartNumberingAfterBreak="0">
    <w:nsid w:val="245932B2"/>
    <w:multiLevelType w:val="hybridMultilevel"/>
    <w:tmpl w:val="35D0C640"/>
    <w:lvl w:ilvl="0" w:tplc="0415000D">
      <w:start w:val="1"/>
      <w:numFmt w:val="bullet"/>
      <w:lvlText w:val=""/>
      <w:lvlJc w:val="left"/>
      <w:pPr>
        <w:ind w:left="718" w:hanging="360"/>
      </w:pPr>
      <w:rPr>
        <w:rFonts w:ascii="Wingdings" w:hAnsi="Wingdings" w:hint="default"/>
      </w:rPr>
    </w:lvl>
    <w:lvl w:ilvl="1" w:tplc="04150003" w:tentative="1">
      <w:start w:val="1"/>
      <w:numFmt w:val="bullet"/>
      <w:lvlText w:val="o"/>
      <w:lvlJc w:val="left"/>
      <w:pPr>
        <w:ind w:left="1438" w:hanging="360"/>
      </w:pPr>
      <w:rPr>
        <w:rFonts w:ascii="Courier New" w:hAnsi="Courier New" w:cs="Courier New" w:hint="default"/>
      </w:rPr>
    </w:lvl>
    <w:lvl w:ilvl="2" w:tplc="04150005" w:tentative="1">
      <w:start w:val="1"/>
      <w:numFmt w:val="bullet"/>
      <w:lvlText w:val=""/>
      <w:lvlJc w:val="left"/>
      <w:pPr>
        <w:ind w:left="2158" w:hanging="360"/>
      </w:pPr>
      <w:rPr>
        <w:rFonts w:ascii="Wingdings" w:hAnsi="Wingdings" w:hint="default"/>
      </w:rPr>
    </w:lvl>
    <w:lvl w:ilvl="3" w:tplc="04150001" w:tentative="1">
      <w:start w:val="1"/>
      <w:numFmt w:val="bullet"/>
      <w:lvlText w:val=""/>
      <w:lvlJc w:val="left"/>
      <w:pPr>
        <w:ind w:left="2878" w:hanging="360"/>
      </w:pPr>
      <w:rPr>
        <w:rFonts w:ascii="Symbol" w:hAnsi="Symbol" w:hint="default"/>
      </w:rPr>
    </w:lvl>
    <w:lvl w:ilvl="4" w:tplc="04150003" w:tentative="1">
      <w:start w:val="1"/>
      <w:numFmt w:val="bullet"/>
      <w:lvlText w:val="o"/>
      <w:lvlJc w:val="left"/>
      <w:pPr>
        <w:ind w:left="3598" w:hanging="360"/>
      </w:pPr>
      <w:rPr>
        <w:rFonts w:ascii="Courier New" w:hAnsi="Courier New" w:cs="Courier New" w:hint="default"/>
      </w:rPr>
    </w:lvl>
    <w:lvl w:ilvl="5" w:tplc="04150005" w:tentative="1">
      <w:start w:val="1"/>
      <w:numFmt w:val="bullet"/>
      <w:lvlText w:val=""/>
      <w:lvlJc w:val="left"/>
      <w:pPr>
        <w:ind w:left="4318" w:hanging="360"/>
      </w:pPr>
      <w:rPr>
        <w:rFonts w:ascii="Wingdings" w:hAnsi="Wingdings" w:hint="default"/>
      </w:rPr>
    </w:lvl>
    <w:lvl w:ilvl="6" w:tplc="04150001" w:tentative="1">
      <w:start w:val="1"/>
      <w:numFmt w:val="bullet"/>
      <w:lvlText w:val=""/>
      <w:lvlJc w:val="left"/>
      <w:pPr>
        <w:ind w:left="5038" w:hanging="360"/>
      </w:pPr>
      <w:rPr>
        <w:rFonts w:ascii="Symbol" w:hAnsi="Symbol" w:hint="default"/>
      </w:rPr>
    </w:lvl>
    <w:lvl w:ilvl="7" w:tplc="04150003" w:tentative="1">
      <w:start w:val="1"/>
      <w:numFmt w:val="bullet"/>
      <w:lvlText w:val="o"/>
      <w:lvlJc w:val="left"/>
      <w:pPr>
        <w:ind w:left="5758" w:hanging="360"/>
      </w:pPr>
      <w:rPr>
        <w:rFonts w:ascii="Courier New" w:hAnsi="Courier New" w:cs="Courier New" w:hint="default"/>
      </w:rPr>
    </w:lvl>
    <w:lvl w:ilvl="8" w:tplc="04150005" w:tentative="1">
      <w:start w:val="1"/>
      <w:numFmt w:val="bullet"/>
      <w:lvlText w:val=""/>
      <w:lvlJc w:val="left"/>
      <w:pPr>
        <w:ind w:left="6478" w:hanging="360"/>
      </w:pPr>
      <w:rPr>
        <w:rFonts w:ascii="Wingdings" w:hAnsi="Wingdings" w:hint="default"/>
      </w:rPr>
    </w:lvl>
  </w:abstractNum>
  <w:abstractNum w:abstractNumId="20" w15:restartNumberingAfterBreak="0">
    <w:nsid w:val="26C753F1"/>
    <w:multiLevelType w:val="hybridMultilevel"/>
    <w:tmpl w:val="258A95E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8224AFA"/>
    <w:multiLevelType w:val="hybridMultilevel"/>
    <w:tmpl w:val="2162312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8306E45"/>
    <w:multiLevelType w:val="hybridMultilevel"/>
    <w:tmpl w:val="3FC267C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D5D7772"/>
    <w:multiLevelType w:val="hybridMultilevel"/>
    <w:tmpl w:val="2D6268A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8E610FF"/>
    <w:multiLevelType w:val="hybridMultilevel"/>
    <w:tmpl w:val="2E2EE77A"/>
    <w:lvl w:ilvl="0" w:tplc="0415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C6D65E6"/>
    <w:multiLevelType w:val="hybridMultilevel"/>
    <w:tmpl w:val="0E0AEDD0"/>
    <w:lvl w:ilvl="0" w:tplc="0415000D">
      <w:start w:val="1"/>
      <w:numFmt w:val="bullet"/>
      <w:lvlText w:val=""/>
      <w:lvlJc w:val="left"/>
      <w:pPr>
        <w:ind w:left="718" w:hanging="360"/>
      </w:pPr>
      <w:rPr>
        <w:rFonts w:ascii="Wingdings" w:hAnsi="Wingdings" w:hint="default"/>
      </w:rPr>
    </w:lvl>
    <w:lvl w:ilvl="1" w:tplc="04150003" w:tentative="1">
      <w:start w:val="1"/>
      <w:numFmt w:val="bullet"/>
      <w:lvlText w:val="o"/>
      <w:lvlJc w:val="left"/>
      <w:pPr>
        <w:ind w:left="1438" w:hanging="360"/>
      </w:pPr>
      <w:rPr>
        <w:rFonts w:ascii="Courier New" w:hAnsi="Courier New" w:cs="Courier New" w:hint="default"/>
      </w:rPr>
    </w:lvl>
    <w:lvl w:ilvl="2" w:tplc="04150005" w:tentative="1">
      <w:start w:val="1"/>
      <w:numFmt w:val="bullet"/>
      <w:lvlText w:val=""/>
      <w:lvlJc w:val="left"/>
      <w:pPr>
        <w:ind w:left="2158" w:hanging="360"/>
      </w:pPr>
      <w:rPr>
        <w:rFonts w:ascii="Wingdings" w:hAnsi="Wingdings" w:hint="default"/>
      </w:rPr>
    </w:lvl>
    <w:lvl w:ilvl="3" w:tplc="04150001" w:tentative="1">
      <w:start w:val="1"/>
      <w:numFmt w:val="bullet"/>
      <w:lvlText w:val=""/>
      <w:lvlJc w:val="left"/>
      <w:pPr>
        <w:ind w:left="2878" w:hanging="360"/>
      </w:pPr>
      <w:rPr>
        <w:rFonts w:ascii="Symbol" w:hAnsi="Symbol" w:hint="default"/>
      </w:rPr>
    </w:lvl>
    <w:lvl w:ilvl="4" w:tplc="04150003" w:tentative="1">
      <w:start w:val="1"/>
      <w:numFmt w:val="bullet"/>
      <w:lvlText w:val="o"/>
      <w:lvlJc w:val="left"/>
      <w:pPr>
        <w:ind w:left="3598" w:hanging="360"/>
      </w:pPr>
      <w:rPr>
        <w:rFonts w:ascii="Courier New" w:hAnsi="Courier New" w:cs="Courier New" w:hint="default"/>
      </w:rPr>
    </w:lvl>
    <w:lvl w:ilvl="5" w:tplc="04150005" w:tentative="1">
      <w:start w:val="1"/>
      <w:numFmt w:val="bullet"/>
      <w:lvlText w:val=""/>
      <w:lvlJc w:val="left"/>
      <w:pPr>
        <w:ind w:left="4318" w:hanging="360"/>
      </w:pPr>
      <w:rPr>
        <w:rFonts w:ascii="Wingdings" w:hAnsi="Wingdings" w:hint="default"/>
      </w:rPr>
    </w:lvl>
    <w:lvl w:ilvl="6" w:tplc="04150001" w:tentative="1">
      <w:start w:val="1"/>
      <w:numFmt w:val="bullet"/>
      <w:lvlText w:val=""/>
      <w:lvlJc w:val="left"/>
      <w:pPr>
        <w:ind w:left="5038" w:hanging="360"/>
      </w:pPr>
      <w:rPr>
        <w:rFonts w:ascii="Symbol" w:hAnsi="Symbol" w:hint="default"/>
      </w:rPr>
    </w:lvl>
    <w:lvl w:ilvl="7" w:tplc="04150003" w:tentative="1">
      <w:start w:val="1"/>
      <w:numFmt w:val="bullet"/>
      <w:lvlText w:val="o"/>
      <w:lvlJc w:val="left"/>
      <w:pPr>
        <w:ind w:left="5758" w:hanging="360"/>
      </w:pPr>
      <w:rPr>
        <w:rFonts w:ascii="Courier New" w:hAnsi="Courier New" w:cs="Courier New" w:hint="default"/>
      </w:rPr>
    </w:lvl>
    <w:lvl w:ilvl="8" w:tplc="04150005" w:tentative="1">
      <w:start w:val="1"/>
      <w:numFmt w:val="bullet"/>
      <w:lvlText w:val=""/>
      <w:lvlJc w:val="left"/>
      <w:pPr>
        <w:ind w:left="6478" w:hanging="360"/>
      </w:pPr>
      <w:rPr>
        <w:rFonts w:ascii="Wingdings" w:hAnsi="Wingdings" w:hint="default"/>
      </w:rPr>
    </w:lvl>
  </w:abstractNum>
  <w:abstractNum w:abstractNumId="26" w15:restartNumberingAfterBreak="0">
    <w:nsid w:val="3E307429"/>
    <w:multiLevelType w:val="hybridMultilevel"/>
    <w:tmpl w:val="36F47A9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F6A772D"/>
    <w:multiLevelType w:val="hybridMultilevel"/>
    <w:tmpl w:val="9AFADADC"/>
    <w:lvl w:ilvl="0" w:tplc="0415000D">
      <w:start w:val="1"/>
      <w:numFmt w:val="bullet"/>
      <w:lvlText w:val=""/>
      <w:lvlJc w:val="left"/>
      <w:pPr>
        <w:ind w:left="718" w:hanging="360"/>
      </w:pPr>
      <w:rPr>
        <w:rFonts w:ascii="Wingdings" w:hAnsi="Wingdings" w:hint="default"/>
      </w:rPr>
    </w:lvl>
    <w:lvl w:ilvl="1" w:tplc="04150003" w:tentative="1">
      <w:start w:val="1"/>
      <w:numFmt w:val="bullet"/>
      <w:lvlText w:val="o"/>
      <w:lvlJc w:val="left"/>
      <w:pPr>
        <w:ind w:left="1438" w:hanging="360"/>
      </w:pPr>
      <w:rPr>
        <w:rFonts w:ascii="Courier New" w:hAnsi="Courier New" w:cs="Courier New" w:hint="default"/>
      </w:rPr>
    </w:lvl>
    <w:lvl w:ilvl="2" w:tplc="04150005" w:tentative="1">
      <w:start w:val="1"/>
      <w:numFmt w:val="bullet"/>
      <w:lvlText w:val=""/>
      <w:lvlJc w:val="left"/>
      <w:pPr>
        <w:ind w:left="2158" w:hanging="360"/>
      </w:pPr>
      <w:rPr>
        <w:rFonts w:ascii="Wingdings" w:hAnsi="Wingdings" w:hint="default"/>
      </w:rPr>
    </w:lvl>
    <w:lvl w:ilvl="3" w:tplc="04150001" w:tentative="1">
      <w:start w:val="1"/>
      <w:numFmt w:val="bullet"/>
      <w:lvlText w:val=""/>
      <w:lvlJc w:val="left"/>
      <w:pPr>
        <w:ind w:left="2878" w:hanging="360"/>
      </w:pPr>
      <w:rPr>
        <w:rFonts w:ascii="Symbol" w:hAnsi="Symbol" w:hint="default"/>
      </w:rPr>
    </w:lvl>
    <w:lvl w:ilvl="4" w:tplc="04150003" w:tentative="1">
      <w:start w:val="1"/>
      <w:numFmt w:val="bullet"/>
      <w:lvlText w:val="o"/>
      <w:lvlJc w:val="left"/>
      <w:pPr>
        <w:ind w:left="3598" w:hanging="360"/>
      </w:pPr>
      <w:rPr>
        <w:rFonts w:ascii="Courier New" w:hAnsi="Courier New" w:cs="Courier New" w:hint="default"/>
      </w:rPr>
    </w:lvl>
    <w:lvl w:ilvl="5" w:tplc="04150005" w:tentative="1">
      <w:start w:val="1"/>
      <w:numFmt w:val="bullet"/>
      <w:lvlText w:val=""/>
      <w:lvlJc w:val="left"/>
      <w:pPr>
        <w:ind w:left="4318" w:hanging="360"/>
      </w:pPr>
      <w:rPr>
        <w:rFonts w:ascii="Wingdings" w:hAnsi="Wingdings" w:hint="default"/>
      </w:rPr>
    </w:lvl>
    <w:lvl w:ilvl="6" w:tplc="04150001" w:tentative="1">
      <w:start w:val="1"/>
      <w:numFmt w:val="bullet"/>
      <w:lvlText w:val=""/>
      <w:lvlJc w:val="left"/>
      <w:pPr>
        <w:ind w:left="5038" w:hanging="360"/>
      </w:pPr>
      <w:rPr>
        <w:rFonts w:ascii="Symbol" w:hAnsi="Symbol" w:hint="default"/>
      </w:rPr>
    </w:lvl>
    <w:lvl w:ilvl="7" w:tplc="04150003" w:tentative="1">
      <w:start w:val="1"/>
      <w:numFmt w:val="bullet"/>
      <w:lvlText w:val="o"/>
      <w:lvlJc w:val="left"/>
      <w:pPr>
        <w:ind w:left="5758" w:hanging="360"/>
      </w:pPr>
      <w:rPr>
        <w:rFonts w:ascii="Courier New" w:hAnsi="Courier New" w:cs="Courier New" w:hint="default"/>
      </w:rPr>
    </w:lvl>
    <w:lvl w:ilvl="8" w:tplc="04150005" w:tentative="1">
      <w:start w:val="1"/>
      <w:numFmt w:val="bullet"/>
      <w:lvlText w:val=""/>
      <w:lvlJc w:val="left"/>
      <w:pPr>
        <w:ind w:left="6478" w:hanging="360"/>
      </w:pPr>
      <w:rPr>
        <w:rFonts w:ascii="Wingdings" w:hAnsi="Wingdings" w:hint="default"/>
      </w:rPr>
    </w:lvl>
  </w:abstractNum>
  <w:abstractNum w:abstractNumId="28" w15:restartNumberingAfterBreak="0">
    <w:nsid w:val="3FB94C9B"/>
    <w:multiLevelType w:val="hybridMultilevel"/>
    <w:tmpl w:val="4DBCB2E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5477573"/>
    <w:multiLevelType w:val="hybridMultilevel"/>
    <w:tmpl w:val="07C6AE22"/>
    <w:lvl w:ilvl="0" w:tplc="0415000D">
      <w:start w:val="1"/>
      <w:numFmt w:val="bullet"/>
      <w:lvlText w:val=""/>
      <w:lvlJc w:val="left"/>
      <w:pPr>
        <w:ind w:left="718" w:hanging="360"/>
      </w:pPr>
      <w:rPr>
        <w:rFonts w:ascii="Wingdings" w:hAnsi="Wingdings" w:hint="default"/>
      </w:rPr>
    </w:lvl>
    <w:lvl w:ilvl="1" w:tplc="04150003" w:tentative="1">
      <w:start w:val="1"/>
      <w:numFmt w:val="bullet"/>
      <w:lvlText w:val="o"/>
      <w:lvlJc w:val="left"/>
      <w:pPr>
        <w:ind w:left="1438" w:hanging="360"/>
      </w:pPr>
      <w:rPr>
        <w:rFonts w:ascii="Courier New" w:hAnsi="Courier New" w:cs="Courier New" w:hint="default"/>
      </w:rPr>
    </w:lvl>
    <w:lvl w:ilvl="2" w:tplc="04150005" w:tentative="1">
      <w:start w:val="1"/>
      <w:numFmt w:val="bullet"/>
      <w:lvlText w:val=""/>
      <w:lvlJc w:val="left"/>
      <w:pPr>
        <w:ind w:left="2158" w:hanging="360"/>
      </w:pPr>
      <w:rPr>
        <w:rFonts w:ascii="Wingdings" w:hAnsi="Wingdings" w:hint="default"/>
      </w:rPr>
    </w:lvl>
    <w:lvl w:ilvl="3" w:tplc="04150001" w:tentative="1">
      <w:start w:val="1"/>
      <w:numFmt w:val="bullet"/>
      <w:lvlText w:val=""/>
      <w:lvlJc w:val="left"/>
      <w:pPr>
        <w:ind w:left="2878" w:hanging="360"/>
      </w:pPr>
      <w:rPr>
        <w:rFonts w:ascii="Symbol" w:hAnsi="Symbol" w:hint="default"/>
      </w:rPr>
    </w:lvl>
    <w:lvl w:ilvl="4" w:tplc="04150003" w:tentative="1">
      <w:start w:val="1"/>
      <w:numFmt w:val="bullet"/>
      <w:lvlText w:val="o"/>
      <w:lvlJc w:val="left"/>
      <w:pPr>
        <w:ind w:left="3598" w:hanging="360"/>
      </w:pPr>
      <w:rPr>
        <w:rFonts w:ascii="Courier New" w:hAnsi="Courier New" w:cs="Courier New" w:hint="default"/>
      </w:rPr>
    </w:lvl>
    <w:lvl w:ilvl="5" w:tplc="04150005" w:tentative="1">
      <w:start w:val="1"/>
      <w:numFmt w:val="bullet"/>
      <w:lvlText w:val=""/>
      <w:lvlJc w:val="left"/>
      <w:pPr>
        <w:ind w:left="4318" w:hanging="360"/>
      </w:pPr>
      <w:rPr>
        <w:rFonts w:ascii="Wingdings" w:hAnsi="Wingdings" w:hint="default"/>
      </w:rPr>
    </w:lvl>
    <w:lvl w:ilvl="6" w:tplc="04150001" w:tentative="1">
      <w:start w:val="1"/>
      <w:numFmt w:val="bullet"/>
      <w:lvlText w:val=""/>
      <w:lvlJc w:val="left"/>
      <w:pPr>
        <w:ind w:left="5038" w:hanging="360"/>
      </w:pPr>
      <w:rPr>
        <w:rFonts w:ascii="Symbol" w:hAnsi="Symbol" w:hint="default"/>
      </w:rPr>
    </w:lvl>
    <w:lvl w:ilvl="7" w:tplc="04150003" w:tentative="1">
      <w:start w:val="1"/>
      <w:numFmt w:val="bullet"/>
      <w:lvlText w:val="o"/>
      <w:lvlJc w:val="left"/>
      <w:pPr>
        <w:ind w:left="5758" w:hanging="360"/>
      </w:pPr>
      <w:rPr>
        <w:rFonts w:ascii="Courier New" w:hAnsi="Courier New" w:cs="Courier New" w:hint="default"/>
      </w:rPr>
    </w:lvl>
    <w:lvl w:ilvl="8" w:tplc="04150005" w:tentative="1">
      <w:start w:val="1"/>
      <w:numFmt w:val="bullet"/>
      <w:lvlText w:val=""/>
      <w:lvlJc w:val="left"/>
      <w:pPr>
        <w:ind w:left="6478" w:hanging="360"/>
      </w:pPr>
      <w:rPr>
        <w:rFonts w:ascii="Wingdings" w:hAnsi="Wingdings" w:hint="default"/>
      </w:rPr>
    </w:lvl>
  </w:abstractNum>
  <w:abstractNum w:abstractNumId="30" w15:restartNumberingAfterBreak="0">
    <w:nsid w:val="49005000"/>
    <w:multiLevelType w:val="hybridMultilevel"/>
    <w:tmpl w:val="C7B047D8"/>
    <w:lvl w:ilvl="0" w:tplc="0415000D">
      <w:start w:val="1"/>
      <w:numFmt w:val="bullet"/>
      <w:lvlText w:val=""/>
      <w:lvlJc w:val="left"/>
      <w:pPr>
        <w:ind w:left="362" w:hanging="360"/>
      </w:pPr>
      <w:rPr>
        <w:rFonts w:ascii="Wingdings" w:hAnsi="Wingdings" w:hint="default"/>
      </w:rPr>
    </w:lvl>
    <w:lvl w:ilvl="1" w:tplc="04150003" w:tentative="1">
      <w:start w:val="1"/>
      <w:numFmt w:val="bullet"/>
      <w:lvlText w:val="o"/>
      <w:lvlJc w:val="left"/>
      <w:pPr>
        <w:ind w:left="1082" w:hanging="360"/>
      </w:pPr>
      <w:rPr>
        <w:rFonts w:ascii="Courier New" w:hAnsi="Courier New" w:cs="Courier New" w:hint="default"/>
      </w:rPr>
    </w:lvl>
    <w:lvl w:ilvl="2" w:tplc="04150005" w:tentative="1">
      <w:start w:val="1"/>
      <w:numFmt w:val="bullet"/>
      <w:lvlText w:val=""/>
      <w:lvlJc w:val="left"/>
      <w:pPr>
        <w:ind w:left="1802" w:hanging="360"/>
      </w:pPr>
      <w:rPr>
        <w:rFonts w:ascii="Wingdings" w:hAnsi="Wingdings" w:hint="default"/>
      </w:rPr>
    </w:lvl>
    <w:lvl w:ilvl="3" w:tplc="04150001" w:tentative="1">
      <w:start w:val="1"/>
      <w:numFmt w:val="bullet"/>
      <w:lvlText w:val=""/>
      <w:lvlJc w:val="left"/>
      <w:pPr>
        <w:ind w:left="2522" w:hanging="360"/>
      </w:pPr>
      <w:rPr>
        <w:rFonts w:ascii="Symbol" w:hAnsi="Symbol" w:hint="default"/>
      </w:rPr>
    </w:lvl>
    <w:lvl w:ilvl="4" w:tplc="04150003" w:tentative="1">
      <w:start w:val="1"/>
      <w:numFmt w:val="bullet"/>
      <w:lvlText w:val="o"/>
      <w:lvlJc w:val="left"/>
      <w:pPr>
        <w:ind w:left="3242" w:hanging="360"/>
      </w:pPr>
      <w:rPr>
        <w:rFonts w:ascii="Courier New" w:hAnsi="Courier New" w:cs="Courier New" w:hint="default"/>
      </w:rPr>
    </w:lvl>
    <w:lvl w:ilvl="5" w:tplc="04150005" w:tentative="1">
      <w:start w:val="1"/>
      <w:numFmt w:val="bullet"/>
      <w:lvlText w:val=""/>
      <w:lvlJc w:val="left"/>
      <w:pPr>
        <w:ind w:left="3962" w:hanging="360"/>
      </w:pPr>
      <w:rPr>
        <w:rFonts w:ascii="Wingdings" w:hAnsi="Wingdings" w:hint="default"/>
      </w:rPr>
    </w:lvl>
    <w:lvl w:ilvl="6" w:tplc="04150001" w:tentative="1">
      <w:start w:val="1"/>
      <w:numFmt w:val="bullet"/>
      <w:lvlText w:val=""/>
      <w:lvlJc w:val="left"/>
      <w:pPr>
        <w:ind w:left="4682" w:hanging="360"/>
      </w:pPr>
      <w:rPr>
        <w:rFonts w:ascii="Symbol" w:hAnsi="Symbol" w:hint="default"/>
      </w:rPr>
    </w:lvl>
    <w:lvl w:ilvl="7" w:tplc="04150003" w:tentative="1">
      <w:start w:val="1"/>
      <w:numFmt w:val="bullet"/>
      <w:lvlText w:val="o"/>
      <w:lvlJc w:val="left"/>
      <w:pPr>
        <w:ind w:left="5402" w:hanging="360"/>
      </w:pPr>
      <w:rPr>
        <w:rFonts w:ascii="Courier New" w:hAnsi="Courier New" w:cs="Courier New" w:hint="default"/>
      </w:rPr>
    </w:lvl>
    <w:lvl w:ilvl="8" w:tplc="04150005" w:tentative="1">
      <w:start w:val="1"/>
      <w:numFmt w:val="bullet"/>
      <w:lvlText w:val=""/>
      <w:lvlJc w:val="left"/>
      <w:pPr>
        <w:ind w:left="6122" w:hanging="360"/>
      </w:pPr>
      <w:rPr>
        <w:rFonts w:ascii="Wingdings" w:hAnsi="Wingdings" w:hint="default"/>
      </w:rPr>
    </w:lvl>
  </w:abstractNum>
  <w:abstractNum w:abstractNumId="31" w15:restartNumberingAfterBreak="0">
    <w:nsid w:val="4CDB301A"/>
    <w:multiLevelType w:val="hybridMultilevel"/>
    <w:tmpl w:val="2548ABD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F6C159D"/>
    <w:multiLevelType w:val="multilevel"/>
    <w:tmpl w:val="60DC397C"/>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572D1047"/>
    <w:multiLevelType w:val="hybridMultilevel"/>
    <w:tmpl w:val="6E52D56C"/>
    <w:lvl w:ilvl="0" w:tplc="0415000D">
      <w:start w:val="1"/>
      <w:numFmt w:val="bullet"/>
      <w:lvlText w:val=""/>
      <w:lvlJc w:val="left"/>
      <w:pPr>
        <w:ind w:left="718" w:hanging="360"/>
      </w:pPr>
      <w:rPr>
        <w:rFonts w:ascii="Wingdings" w:hAnsi="Wingdings" w:hint="default"/>
      </w:rPr>
    </w:lvl>
    <w:lvl w:ilvl="1" w:tplc="04150003" w:tentative="1">
      <w:start w:val="1"/>
      <w:numFmt w:val="bullet"/>
      <w:lvlText w:val="o"/>
      <w:lvlJc w:val="left"/>
      <w:pPr>
        <w:ind w:left="1438" w:hanging="360"/>
      </w:pPr>
      <w:rPr>
        <w:rFonts w:ascii="Courier New" w:hAnsi="Courier New" w:cs="Courier New" w:hint="default"/>
      </w:rPr>
    </w:lvl>
    <w:lvl w:ilvl="2" w:tplc="04150005" w:tentative="1">
      <w:start w:val="1"/>
      <w:numFmt w:val="bullet"/>
      <w:lvlText w:val=""/>
      <w:lvlJc w:val="left"/>
      <w:pPr>
        <w:ind w:left="2158" w:hanging="360"/>
      </w:pPr>
      <w:rPr>
        <w:rFonts w:ascii="Wingdings" w:hAnsi="Wingdings" w:hint="default"/>
      </w:rPr>
    </w:lvl>
    <w:lvl w:ilvl="3" w:tplc="04150001" w:tentative="1">
      <w:start w:val="1"/>
      <w:numFmt w:val="bullet"/>
      <w:lvlText w:val=""/>
      <w:lvlJc w:val="left"/>
      <w:pPr>
        <w:ind w:left="2878" w:hanging="360"/>
      </w:pPr>
      <w:rPr>
        <w:rFonts w:ascii="Symbol" w:hAnsi="Symbol" w:hint="default"/>
      </w:rPr>
    </w:lvl>
    <w:lvl w:ilvl="4" w:tplc="04150003" w:tentative="1">
      <w:start w:val="1"/>
      <w:numFmt w:val="bullet"/>
      <w:lvlText w:val="o"/>
      <w:lvlJc w:val="left"/>
      <w:pPr>
        <w:ind w:left="3598" w:hanging="360"/>
      </w:pPr>
      <w:rPr>
        <w:rFonts w:ascii="Courier New" w:hAnsi="Courier New" w:cs="Courier New" w:hint="default"/>
      </w:rPr>
    </w:lvl>
    <w:lvl w:ilvl="5" w:tplc="04150005" w:tentative="1">
      <w:start w:val="1"/>
      <w:numFmt w:val="bullet"/>
      <w:lvlText w:val=""/>
      <w:lvlJc w:val="left"/>
      <w:pPr>
        <w:ind w:left="4318" w:hanging="360"/>
      </w:pPr>
      <w:rPr>
        <w:rFonts w:ascii="Wingdings" w:hAnsi="Wingdings" w:hint="default"/>
      </w:rPr>
    </w:lvl>
    <w:lvl w:ilvl="6" w:tplc="04150001" w:tentative="1">
      <w:start w:val="1"/>
      <w:numFmt w:val="bullet"/>
      <w:lvlText w:val=""/>
      <w:lvlJc w:val="left"/>
      <w:pPr>
        <w:ind w:left="5038" w:hanging="360"/>
      </w:pPr>
      <w:rPr>
        <w:rFonts w:ascii="Symbol" w:hAnsi="Symbol" w:hint="default"/>
      </w:rPr>
    </w:lvl>
    <w:lvl w:ilvl="7" w:tplc="04150003" w:tentative="1">
      <w:start w:val="1"/>
      <w:numFmt w:val="bullet"/>
      <w:lvlText w:val="o"/>
      <w:lvlJc w:val="left"/>
      <w:pPr>
        <w:ind w:left="5758" w:hanging="360"/>
      </w:pPr>
      <w:rPr>
        <w:rFonts w:ascii="Courier New" w:hAnsi="Courier New" w:cs="Courier New" w:hint="default"/>
      </w:rPr>
    </w:lvl>
    <w:lvl w:ilvl="8" w:tplc="04150005" w:tentative="1">
      <w:start w:val="1"/>
      <w:numFmt w:val="bullet"/>
      <w:lvlText w:val=""/>
      <w:lvlJc w:val="left"/>
      <w:pPr>
        <w:ind w:left="6478" w:hanging="360"/>
      </w:pPr>
      <w:rPr>
        <w:rFonts w:ascii="Wingdings" w:hAnsi="Wingdings" w:hint="default"/>
      </w:rPr>
    </w:lvl>
  </w:abstractNum>
  <w:abstractNum w:abstractNumId="34" w15:restartNumberingAfterBreak="0">
    <w:nsid w:val="59ED2270"/>
    <w:multiLevelType w:val="hybridMultilevel"/>
    <w:tmpl w:val="B86219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F4A560C"/>
    <w:multiLevelType w:val="hybridMultilevel"/>
    <w:tmpl w:val="83885A9A"/>
    <w:lvl w:ilvl="0" w:tplc="0415000D">
      <w:start w:val="1"/>
      <w:numFmt w:val="bullet"/>
      <w:lvlText w:val=""/>
      <w:lvlJc w:val="left"/>
      <w:pPr>
        <w:ind w:left="718" w:hanging="360"/>
      </w:pPr>
      <w:rPr>
        <w:rFonts w:ascii="Wingdings" w:hAnsi="Wingdings" w:hint="default"/>
      </w:rPr>
    </w:lvl>
    <w:lvl w:ilvl="1" w:tplc="04150003" w:tentative="1">
      <w:start w:val="1"/>
      <w:numFmt w:val="bullet"/>
      <w:lvlText w:val="o"/>
      <w:lvlJc w:val="left"/>
      <w:pPr>
        <w:ind w:left="1438" w:hanging="360"/>
      </w:pPr>
      <w:rPr>
        <w:rFonts w:ascii="Courier New" w:hAnsi="Courier New" w:cs="Courier New" w:hint="default"/>
      </w:rPr>
    </w:lvl>
    <w:lvl w:ilvl="2" w:tplc="04150005" w:tentative="1">
      <w:start w:val="1"/>
      <w:numFmt w:val="bullet"/>
      <w:lvlText w:val=""/>
      <w:lvlJc w:val="left"/>
      <w:pPr>
        <w:ind w:left="2158" w:hanging="360"/>
      </w:pPr>
      <w:rPr>
        <w:rFonts w:ascii="Wingdings" w:hAnsi="Wingdings" w:hint="default"/>
      </w:rPr>
    </w:lvl>
    <w:lvl w:ilvl="3" w:tplc="04150001" w:tentative="1">
      <w:start w:val="1"/>
      <w:numFmt w:val="bullet"/>
      <w:lvlText w:val=""/>
      <w:lvlJc w:val="left"/>
      <w:pPr>
        <w:ind w:left="2878" w:hanging="360"/>
      </w:pPr>
      <w:rPr>
        <w:rFonts w:ascii="Symbol" w:hAnsi="Symbol" w:hint="default"/>
      </w:rPr>
    </w:lvl>
    <w:lvl w:ilvl="4" w:tplc="04150003" w:tentative="1">
      <w:start w:val="1"/>
      <w:numFmt w:val="bullet"/>
      <w:lvlText w:val="o"/>
      <w:lvlJc w:val="left"/>
      <w:pPr>
        <w:ind w:left="3598" w:hanging="360"/>
      </w:pPr>
      <w:rPr>
        <w:rFonts w:ascii="Courier New" w:hAnsi="Courier New" w:cs="Courier New" w:hint="default"/>
      </w:rPr>
    </w:lvl>
    <w:lvl w:ilvl="5" w:tplc="04150005" w:tentative="1">
      <w:start w:val="1"/>
      <w:numFmt w:val="bullet"/>
      <w:lvlText w:val=""/>
      <w:lvlJc w:val="left"/>
      <w:pPr>
        <w:ind w:left="4318" w:hanging="360"/>
      </w:pPr>
      <w:rPr>
        <w:rFonts w:ascii="Wingdings" w:hAnsi="Wingdings" w:hint="default"/>
      </w:rPr>
    </w:lvl>
    <w:lvl w:ilvl="6" w:tplc="04150001" w:tentative="1">
      <w:start w:val="1"/>
      <w:numFmt w:val="bullet"/>
      <w:lvlText w:val=""/>
      <w:lvlJc w:val="left"/>
      <w:pPr>
        <w:ind w:left="5038" w:hanging="360"/>
      </w:pPr>
      <w:rPr>
        <w:rFonts w:ascii="Symbol" w:hAnsi="Symbol" w:hint="default"/>
      </w:rPr>
    </w:lvl>
    <w:lvl w:ilvl="7" w:tplc="04150003" w:tentative="1">
      <w:start w:val="1"/>
      <w:numFmt w:val="bullet"/>
      <w:lvlText w:val="o"/>
      <w:lvlJc w:val="left"/>
      <w:pPr>
        <w:ind w:left="5758" w:hanging="360"/>
      </w:pPr>
      <w:rPr>
        <w:rFonts w:ascii="Courier New" w:hAnsi="Courier New" w:cs="Courier New" w:hint="default"/>
      </w:rPr>
    </w:lvl>
    <w:lvl w:ilvl="8" w:tplc="04150005" w:tentative="1">
      <w:start w:val="1"/>
      <w:numFmt w:val="bullet"/>
      <w:lvlText w:val=""/>
      <w:lvlJc w:val="left"/>
      <w:pPr>
        <w:ind w:left="6478" w:hanging="360"/>
      </w:pPr>
      <w:rPr>
        <w:rFonts w:ascii="Wingdings" w:hAnsi="Wingdings" w:hint="default"/>
      </w:rPr>
    </w:lvl>
  </w:abstractNum>
  <w:abstractNum w:abstractNumId="36" w15:restartNumberingAfterBreak="0">
    <w:nsid w:val="5FD66F1B"/>
    <w:multiLevelType w:val="hybridMultilevel"/>
    <w:tmpl w:val="4F526C0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0660381"/>
    <w:multiLevelType w:val="hybridMultilevel"/>
    <w:tmpl w:val="2134394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6661799"/>
    <w:multiLevelType w:val="hybridMultilevel"/>
    <w:tmpl w:val="FB021912"/>
    <w:lvl w:ilvl="0" w:tplc="0415000D">
      <w:start w:val="1"/>
      <w:numFmt w:val="bullet"/>
      <w:lvlText w:val=""/>
      <w:lvlJc w:val="left"/>
      <w:pPr>
        <w:ind w:left="718" w:hanging="360"/>
      </w:pPr>
      <w:rPr>
        <w:rFonts w:ascii="Wingdings" w:hAnsi="Wingdings" w:hint="default"/>
      </w:rPr>
    </w:lvl>
    <w:lvl w:ilvl="1" w:tplc="04150003" w:tentative="1">
      <w:start w:val="1"/>
      <w:numFmt w:val="bullet"/>
      <w:lvlText w:val="o"/>
      <w:lvlJc w:val="left"/>
      <w:pPr>
        <w:ind w:left="1438" w:hanging="360"/>
      </w:pPr>
      <w:rPr>
        <w:rFonts w:ascii="Courier New" w:hAnsi="Courier New" w:cs="Courier New" w:hint="default"/>
      </w:rPr>
    </w:lvl>
    <w:lvl w:ilvl="2" w:tplc="04150005" w:tentative="1">
      <w:start w:val="1"/>
      <w:numFmt w:val="bullet"/>
      <w:lvlText w:val=""/>
      <w:lvlJc w:val="left"/>
      <w:pPr>
        <w:ind w:left="2158" w:hanging="360"/>
      </w:pPr>
      <w:rPr>
        <w:rFonts w:ascii="Wingdings" w:hAnsi="Wingdings" w:hint="default"/>
      </w:rPr>
    </w:lvl>
    <w:lvl w:ilvl="3" w:tplc="04150001" w:tentative="1">
      <w:start w:val="1"/>
      <w:numFmt w:val="bullet"/>
      <w:lvlText w:val=""/>
      <w:lvlJc w:val="left"/>
      <w:pPr>
        <w:ind w:left="2878" w:hanging="360"/>
      </w:pPr>
      <w:rPr>
        <w:rFonts w:ascii="Symbol" w:hAnsi="Symbol" w:hint="default"/>
      </w:rPr>
    </w:lvl>
    <w:lvl w:ilvl="4" w:tplc="04150003" w:tentative="1">
      <w:start w:val="1"/>
      <w:numFmt w:val="bullet"/>
      <w:lvlText w:val="o"/>
      <w:lvlJc w:val="left"/>
      <w:pPr>
        <w:ind w:left="3598" w:hanging="360"/>
      </w:pPr>
      <w:rPr>
        <w:rFonts w:ascii="Courier New" w:hAnsi="Courier New" w:cs="Courier New" w:hint="default"/>
      </w:rPr>
    </w:lvl>
    <w:lvl w:ilvl="5" w:tplc="04150005" w:tentative="1">
      <w:start w:val="1"/>
      <w:numFmt w:val="bullet"/>
      <w:lvlText w:val=""/>
      <w:lvlJc w:val="left"/>
      <w:pPr>
        <w:ind w:left="4318" w:hanging="360"/>
      </w:pPr>
      <w:rPr>
        <w:rFonts w:ascii="Wingdings" w:hAnsi="Wingdings" w:hint="default"/>
      </w:rPr>
    </w:lvl>
    <w:lvl w:ilvl="6" w:tplc="04150001" w:tentative="1">
      <w:start w:val="1"/>
      <w:numFmt w:val="bullet"/>
      <w:lvlText w:val=""/>
      <w:lvlJc w:val="left"/>
      <w:pPr>
        <w:ind w:left="5038" w:hanging="360"/>
      </w:pPr>
      <w:rPr>
        <w:rFonts w:ascii="Symbol" w:hAnsi="Symbol" w:hint="default"/>
      </w:rPr>
    </w:lvl>
    <w:lvl w:ilvl="7" w:tplc="04150003" w:tentative="1">
      <w:start w:val="1"/>
      <w:numFmt w:val="bullet"/>
      <w:lvlText w:val="o"/>
      <w:lvlJc w:val="left"/>
      <w:pPr>
        <w:ind w:left="5758" w:hanging="360"/>
      </w:pPr>
      <w:rPr>
        <w:rFonts w:ascii="Courier New" w:hAnsi="Courier New" w:cs="Courier New" w:hint="default"/>
      </w:rPr>
    </w:lvl>
    <w:lvl w:ilvl="8" w:tplc="04150005" w:tentative="1">
      <w:start w:val="1"/>
      <w:numFmt w:val="bullet"/>
      <w:lvlText w:val=""/>
      <w:lvlJc w:val="left"/>
      <w:pPr>
        <w:ind w:left="6478" w:hanging="360"/>
      </w:pPr>
      <w:rPr>
        <w:rFonts w:ascii="Wingdings" w:hAnsi="Wingdings" w:hint="default"/>
      </w:rPr>
    </w:lvl>
  </w:abstractNum>
  <w:abstractNum w:abstractNumId="39" w15:restartNumberingAfterBreak="0">
    <w:nsid w:val="67613BDC"/>
    <w:multiLevelType w:val="hybridMultilevel"/>
    <w:tmpl w:val="2D187AB8"/>
    <w:lvl w:ilvl="0" w:tplc="0415000D">
      <w:start w:val="1"/>
      <w:numFmt w:val="bullet"/>
      <w:lvlText w:val=""/>
      <w:lvlJc w:val="left"/>
      <w:pPr>
        <w:ind w:left="718" w:hanging="360"/>
      </w:pPr>
      <w:rPr>
        <w:rFonts w:ascii="Wingdings" w:hAnsi="Wingdings" w:hint="default"/>
      </w:rPr>
    </w:lvl>
    <w:lvl w:ilvl="1" w:tplc="04150003" w:tentative="1">
      <w:start w:val="1"/>
      <w:numFmt w:val="bullet"/>
      <w:lvlText w:val="o"/>
      <w:lvlJc w:val="left"/>
      <w:pPr>
        <w:ind w:left="1438" w:hanging="360"/>
      </w:pPr>
      <w:rPr>
        <w:rFonts w:ascii="Courier New" w:hAnsi="Courier New" w:cs="Courier New" w:hint="default"/>
      </w:rPr>
    </w:lvl>
    <w:lvl w:ilvl="2" w:tplc="04150005" w:tentative="1">
      <w:start w:val="1"/>
      <w:numFmt w:val="bullet"/>
      <w:lvlText w:val=""/>
      <w:lvlJc w:val="left"/>
      <w:pPr>
        <w:ind w:left="2158" w:hanging="360"/>
      </w:pPr>
      <w:rPr>
        <w:rFonts w:ascii="Wingdings" w:hAnsi="Wingdings" w:hint="default"/>
      </w:rPr>
    </w:lvl>
    <w:lvl w:ilvl="3" w:tplc="04150001" w:tentative="1">
      <w:start w:val="1"/>
      <w:numFmt w:val="bullet"/>
      <w:lvlText w:val=""/>
      <w:lvlJc w:val="left"/>
      <w:pPr>
        <w:ind w:left="2878" w:hanging="360"/>
      </w:pPr>
      <w:rPr>
        <w:rFonts w:ascii="Symbol" w:hAnsi="Symbol" w:hint="default"/>
      </w:rPr>
    </w:lvl>
    <w:lvl w:ilvl="4" w:tplc="04150003" w:tentative="1">
      <w:start w:val="1"/>
      <w:numFmt w:val="bullet"/>
      <w:lvlText w:val="o"/>
      <w:lvlJc w:val="left"/>
      <w:pPr>
        <w:ind w:left="3598" w:hanging="360"/>
      </w:pPr>
      <w:rPr>
        <w:rFonts w:ascii="Courier New" w:hAnsi="Courier New" w:cs="Courier New" w:hint="default"/>
      </w:rPr>
    </w:lvl>
    <w:lvl w:ilvl="5" w:tplc="04150005" w:tentative="1">
      <w:start w:val="1"/>
      <w:numFmt w:val="bullet"/>
      <w:lvlText w:val=""/>
      <w:lvlJc w:val="left"/>
      <w:pPr>
        <w:ind w:left="4318" w:hanging="360"/>
      </w:pPr>
      <w:rPr>
        <w:rFonts w:ascii="Wingdings" w:hAnsi="Wingdings" w:hint="default"/>
      </w:rPr>
    </w:lvl>
    <w:lvl w:ilvl="6" w:tplc="04150001" w:tentative="1">
      <w:start w:val="1"/>
      <w:numFmt w:val="bullet"/>
      <w:lvlText w:val=""/>
      <w:lvlJc w:val="left"/>
      <w:pPr>
        <w:ind w:left="5038" w:hanging="360"/>
      </w:pPr>
      <w:rPr>
        <w:rFonts w:ascii="Symbol" w:hAnsi="Symbol" w:hint="default"/>
      </w:rPr>
    </w:lvl>
    <w:lvl w:ilvl="7" w:tplc="04150003" w:tentative="1">
      <w:start w:val="1"/>
      <w:numFmt w:val="bullet"/>
      <w:lvlText w:val="o"/>
      <w:lvlJc w:val="left"/>
      <w:pPr>
        <w:ind w:left="5758" w:hanging="360"/>
      </w:pPr>
      <w:rPr>
        <w:rFonts w:ascii="Courier New" w:hAnsi="Courier New" w:cs="Courier New" w:hint="default"/>
      </w:rPr>
    </w:lvl>
    <w:lvl w:ilvl="8" w:tplc="04150005" w:tentative="1">
      <w:start w:val="1"/>
      <w:numFmt w:val="bullet"/>
      <w:lvlText w:val=""/>
      <w:lvlJc w:val="left"/>
      <w:pPr>
        <w:ind w:left="6478" w:hanging="360"/>
      </w:pPr>
      <w:rPr>
        <w:rFonts w:ascii="Wingdings" w:hAnsi="Wingdings" w:hint="default"/>
      </w:rPr>
    </w:lvl>
  </w:abstractNum>
  <w:abstractNum w:abstractNumId="40" w15:restartNumberingAfterBreak="0">
    <w:nsid w:val="6B1B2FEB"/>
    <w:multiLevelType w:val="hybridMultilevel"/>
    <w:tmpl w:val="260E3B7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B8B70EC"/>
    <w:multiLevelType w:val="hybridMultilevel"/>
    <w:tmpl w:val="DE2E0C7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02C24AF"/>
    <w:multiLevelType w:val="hybridMultilevel"/>
    <w:tmpl w:val="2C7E4C2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2DD487F"/>
    <w:multiLevelType w:val="hybridMultilevel"/>
    <w:tmpl w:val="6F2ECBA2"/>
    <w:lvl w:ilvl="0" w:tplc="8A3C8F5C">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4885B3A"/>
    <w:multiLevelType w:val="hybridMultilevel"/>
    <w:tmpl w:val="FFECA87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7543690"/>
    <w:multiLevelType w:val="hybridMultilevel"/>
    <w:tmpl w:val="DAD6EE2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90E6A9B"/>
    <w:multiLevelType w:val="hybridMultilevel"/>
    <w:tmpl w:val="2E22263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C7F67E2"/>
    <w:multiLevelType w:val="multilevel"/>
    <w:tmpl w:val="0AEA07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8" w15:restartNumberingAfterBreak="0">
    <w:nsid w:val="7DE17522"/>
    <w:multiLevelType w:val="hybridMultilevel"/>
    <w:tmpl w:val="794020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00159520">
    <w:abstractNumId w:val="31"/>
  </w:num>
  <w:num w:numId="2" w16cid:durableId="65807731">
    <w:abstractNumId w:val="42"/>
  </w:num>
  <w:num w:numId="3" w16cid:durableId="2014332621">
    <w:abstractNumId w:val="11"/>
  </w:num>
  <w:num w:numId="4" w16cid:durableId="1875270468">
    <w:abstractNumId w:val="28"/>
  </w:num>
  <w:num w:numId="5" w16cid:durableId="2096004423">
    <w:abstractNumId w:val="5"/>
  </w:num>
  <w:num w:numId="6" w16cid:durableId="1576281275">
    <w:abstractNumId w:val="20"/>
  </w:num>
  <w:num w:numId="7" w16cid:durableId="1509711873">
    <w:abstractNumId w:val="21"/>
  </w:num>
  <w:num w:numId="8" w16cid:durableId="1276401177">
    <w:abstractNumId w:val="26"/>
  </w:num>
  <w:num w:numId="9" w16cid:durableId="879242622">
    <w:abstractNumId w:val="36"/>
  </w:num>
  <w:num w:numId="10" w16cid:durableId="1291471427">
    <w:abstractNumId w:val="37"/>
  </w:num>
  <w:num w:numId="11" w16cid:durableId="823472701">
    <w:abstractNumId w:val="10"/>
  </w:num>
  <w:num w:numId="12" w16cid:durableId="129321877">
    <w:abstractNumId w:val="45"/>
  </w:num>
  <w:num w:numId="13" w16cid:durableId="1181776135">
    <w:abstractNumId w:val="34"/>
  </w:num>
  <w:num w:numId="14" w16cid:durableId="1309362675">
    <w:abstractNumId w:val="24"/>
  </w:num>
  <w:num w:numId="15" w16cid:durableId="1185900327">
    <w:abstractNumId w:val="41"/>
  </w:num>
  <w:num w:numId="16" w16cid:durableId="553471553">
    <w:abstractNumId w:val="16"/>
  </w:num>
  <w:num w:numId="17" w16cid:durableId="1549993381">
    <w:abstractNumId w:val="3"/>
  </w:num>
  <w:num w:numId="18" w16cid:durableId="1045836275">
    <w:abstractNumId w:val="22"/>
  </w:num>
  <w:num w:numId="19" w16cid:durableId="1722829986">
    <w:abstractNumId w:val="46"/>
  </w:num>
  <w:num w:numId="20" w16cid:durableId="484049396">
    <w:abstractNumId w:val="14"/>
  </w:num>
  <w:num w:numId="21" w16cid:durableId="609320527">
    <w:abstractNumId w:val="44"/>
  </w:num>
  <w:num w:numId="22" w16cid:durableId="1596132900">
    <w:abstractNumId w:val="48"/>
  </w:num>
  <w:num w:numId="23" w16cid:durableId="487677700">
    <w:abstractNumId w:val="0"/>
  </w:num>
  <w:num w:numId="24" w16cid:durableId="1745226430">
    <w:abstractNumId w:val="40"/>
  </w:num>
  <w:num w:numId="25" w16cid:durableId="1520197542">
    <w:abstractNumId w:val="23"/>
  </w:num>
  <w:num w:numId="26" w16cid:durableId="459811429">
    <w:abstractNumId w:val="13"/>
  </w:num>
  <w:num w:numId="27" w16cid:durableId="539905565">
    <w:abstractNumId w:val="47"/>
  </w:num>
  <w:num w:numId="28" w16cid:durableId="1869875630">
    <w:abstractNumId w:val="8"/>
  </w:num>
  <w:num w:numId="29" w16cid:durableId="1999914462">
    <w:abstractNumId w:val="32"/>
  </w:num>
  <w:num w:numId="30" w16cid:durableId="336806902">
    <w:abstractNumId w:val="12"/>
  </w:num>
  <w:num w:numId="31" w16cid:durableId="123819532">
    <w:abstractNumId w:val="9"/>
  </w:num>
  <w:num w:numId="32" w16cid:durableId="1277712597">
    <w:abstractNumId w:val="18"/>
  </w:num>
  <w:num w:numId="33" w16cid:durableId="861285048">
    <w:abstractNumId w:val="1"/>
  </w:num>
  <w:num w:numId="34" w16cid:durableId="565411255">
    <w:abstractNumId w:val="33"/>
  </w:num>
  <w:num w:numId="35" w16cid:durableId="598954897">
    <w:abstractNumId w:val="6"/>
  </w:num>
  <w:num w:numId="36" w16cid:durableId="883911047">
    <w:abstractNumId w:val="30"/>
  </w:num>
  <w:num w:numId="37" w16cid:durableId="435560363">
    <w:abstractNumId w:val="7"/>
  </w:num>
  <w:num w:numId="38" w16cid:durableId="1014958239">
    <w:abstractNumId w:val="39"/>
  </w:num>
  <w:num w:numId="39" w16cid:durableId="1239444445">
    <w:abstractNumId w:val="27"/>
  </w:num>
  <w:num w:numId="40" w16cid:durableId="527718116">
    <w:abstractNumId w:val="17"/>
  </w:num>
  <w:num w:numId="41" w16cid:durableId="158930479">
    <w:abstractNumId w:val="29"/>
  </w:num>
  <w:num w:numId="42" w16cid:durableId="1805082508">
    <w:abstractNumId w:val="25"/>
  </w:num>
  <w:num w:numId="43" w16cid:durableId="234753061">
    <w:abstractNumId w:val="15"/>
  </w:num>
  <w:num w:numId="44" w16cid:durableId="1748654476">
    <w:abstractNumId w:val="2"/>
  </w:num>
  <w:num w:numId="45" w16cid:durableId="348873406">
    <w:abstractNumId w:val="38"/>
  </w:num>
  <w:num w:numId="46" w16cid:durableId="1406487410">
    <w:abstractNumId w:val="4"/>
  </w:num>
  <w:num w:numId="47" w16cid:durableId="1626349914">
    <w:abstractNumId w:val="19"/>
  </w:num>
  <w:num w:numId="48" w16cid:durableId="629097699">
    <w:abstractNumId w:val="43"/>
  </w:num>
  <w:num w:numId="49" w16cid:durableId="58707988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3BD"/>
    <w:rsid w:val="000002E8"/>
    <w:rsid w:val="00001618"/>
    <w:rsid w:val="00001849"/>
    <w:rsid w:val="00003E5E"/>
    <w:rsid w:val="000042FE"/>
    <w:rsid w:val="000056B8"/>
    <w:rsid w:val="000060D1"/>
    <w:rsid w:val="000061D9"/>
    <w:rsid w:val="00006642"/>
    <w:rsid w:val="00006A69"/>
    <w:rsid w:val="00006F44"/>
    <w:rsid w:val="00011E38"/>
    <w:rsid w:val="00012523"/>
    <w:rsid w:val="00013DDD"/>
    <w:rsid w:val="000144F1"/>
    <w:rsid w:val="000145E7"/>
    <w:rsid w:val="00015217"/>
    <w:rsid w:val="000163FF"/>
    <w:rsid w:val="00021C40"/>
    <w:rsid w:val="0002392F"/>
    <w:rsid w:val="00024C79"/>
    <w:rsid w:val="00025149"/>
    <w:rsid w:val="00025C3F"/>
    <w:rsid w:val="000263DA"/>
    <w:rsid w:val="00030E89"/>
    <w:rsid w:val="00033BBB"/>
    <w:rsid w:val="00033DE6"/>
    <w:rsid w:val="000349B0"/>
    <w:rsid w:val="00034DC1"/>
    <w:rsid w:val="000359DE"/>
    <w:rsid w:val="00036883"/>
    <w:rsid w:val="000402E2"/>
    <w:rsid w:val="000407EE"/>
    <w:rsid w:val="00041588"/>
    <w:rsid w:val="0004178E"/>
    <w:rsid w:val="00042A63"/>
    <w:rsid w:val="00042B93"/>
    <w:rsid w:val="00043927"/>
    <w:rsid w:val="0004490A"/>
    <w:rsid w:val="000453E7"/>
    <w:rsid w:val="00045848"/>
    <w:rsid w:val="00046CFA"/>
    <w:rsid w:val="000502DD"/>
    <w:rsid w:val="00050E62"/>
    <w:rsid w:val="000522FB"/>
    <w:rsid w:val="00052955"/>
    <w:rsid w:val="000563B9"/>
    <w:rsid w:val="00061CAA"/>
    <w:rsid w:val="00063116"/>
    <w:rsid w:val="00063B07"/>
    <w:rsid w:val="0006400F"/>
    <w:rsid w:val="000641D4"/>
    <w:rsid w:val="00064FAC"/>
    <w:rsid w:val="00066B5C"/>
    <w:rsid w:val="00067EFD"/>
    <w:rsid w:val="0007065E"/>
    <w:rsid w:val="00070DDC"/>
    <w:rsid w:val="000761CA"/>
    <w:rsid w:val="0007685E"/>
    <w:rsid w:val="00076EF6"/>
    <w:rsid w:val="0007704E"/>
    <w:rsid w:val="00080251"/>
    <w:rsid w:val="000806C6"/>
    <w:rsid w:val="00081B1B"/>
    <w:rsid w:val="00082192"/>
    <w:rsid w:val="00082336"/>
    <w:rsid w:val="000823C9"/>
    <w:rsid w:val="00082E4C"/>
    <w:rsid w:val="000831CE"/>
    <w:rsid w:val="00083744"/>
    <w:rsid w:val="0008441D"/>
    <w:rsid w:val="00084AA3"/>
    <w:rsid w:val="000854B4"/>
    <w:rsid w:val="000855AF"/>
    <w:rsid w:val="00086FD9"/>
    <w:rsid w:val="00087EEC"/>
    <w:rsid w:val="00090AB6"/>
    <w:rsid w:val="000929CE"/>
    <w:rsid w:val="0009341A"/>
    <w:rsid w:val="00093901"/>
    <w:rsid w:val="0009628F"/>
    <w:rsid w:val="00096D04"/>
    <w:rsid w:val="000A1016"/>
    <w:rsid w:val="000A229E"/>
    <w:rsid w:val="000A2498"/>
    <w:rsid w:val="000A2644"/>
    <w:rsid w:val="000A3103"/>
    <w:rsid w:val="000A3148"/>
    <w:rsid w:val="000A4B41"/>
    <w:rsid w:val="000B13AD"/>
    <w:rsid w:val="000B21BF"/>
    <w:rsid w:val="000B2C89"/>
    <w:rsid w:val="000B2F6E"/>
    <w:rsid w:val="000B3779"/>
    <w:rsid w:val="000B3C1D"/>
    <w:rsid w:val="000B63A2"/>
    <w:rsid w:val="000B6D35"/>
    <w:rsid w:val="000B7465"/>
    <w:rsid w:val="000B79A5"/>
    <w:rsid w:val="000B7F29"/>
    <w:rsid w:val="000C045D"/>
    <w:rsid w:val="000C1B45"/>
    <w:rsid w:val="000C1F4D"/>
    <w:rsid w:val="000C3444"/>
    <w:rsid w:val="000C415C"/>
    <w:rsid w:val="000C53BD"/>
    <w:rsid w:val="000C5496"/>
    <w:rsid w:val="000C5D8B"/>
    <w:rsid w:val="000C7DBB"/>
    <w:rsid w:val="000D0F89"/>
    <w:rsid w:val="000D1D71"/>
    <w:rsid w:val="000D39F8"/>
    <w:rsid w:val="000D488C"/>
    <w:rsid w:val="000D5BF1"/>
    <w:rsid w:val="000D6BC3"/>
    <w:rsid w:val="000D7E57"/>
    <w:rsid w:val="000E0371"/>
    <w:rsid w:val="000E2E07"/>
    <w:rsid w:val="000E48D4"/>
    <w:rsid w:val="000E4B93"/>
    <w:rsid w:val="000E4EA2"/>
    <w:rsid w:val="000E51EA"/>
    <w:rsid w:val="000E5581"/>
    <w:rsid w:val="000E5590"/>
    <w:rsid w:val="000E682D"/>
    <w:rsid w:val="000E6BD8"/>
    <w:rsid w:val="000F062A"/>
    <w:rsid w:val="000F0CDF"/>
    <w:rsid w:val="000F0CE7"/>
    <w:rsid w:val="000F2C2C"/>
    <w:rsid w:val="000F2E2E"/>
    <w:rsid w:val="000F3B9A"/>
    <w:rsid w:val="000F45C4"/>
    <w:rsid w:val="000F48AC"/>
    <w:rsid w:val="000F504D"/>
    <w:rsid w:val="000F5321"/>
    <w:rsid w:val="000F5BE0"/>
    <w:rsid w:val="000F7803"/>
    <w:rsid w:val="001004FE"/>
    <w:rsid w:val="00101A5D"/>
    <w:rsid w:val="00102132"/>
    <w:rsid w:val="001028A3"/>
    <w:rsid w:val="00103C8B"/>
    <w:rsid w:val="00105128"/>
    <w:rsid w:val="00105F19"/>
    <w:rsid w:val="00106A87"/>
    <w:rsid w:val="001070CB"/>
    <w:rsid w:val="00111028"/>
    <w:rsid w:val="00111F06"/>
    <w:rsid w:val="0011205A"/>
    <w:rsid w:val="00113926"/>
    <w:rsid w:val="00113937"/>
    <w:rsid w:val="001146FC"/>
    <w:rsid w:val="00115C79"/>
    <w:rsid w:val="00115D67"/>
    <w:rsid w:val="00116811"/>
    <w:rsid w:val="0011764A"/>
    <w:rsid w:val="00117A46"/>
    <w:rsid w:val="00117EB5"/>
    <w:rsid w:val="00120659"/>
    <w:rsid w:val="001206DB"/>
    <w:rsid w:val="00120DD4"/>
    <w:rsid w:val="001213C7"/>
    <w:rsid w:val="00121B26"/>
    <w:rsid w:val="001231BC"/>
    <w:rsid w:val="001232C8"/>
    <w:rsid w:val="00123785"/>
    <w:rsid w:val="001269DC"/>
    <w:rsid w:val="00127E49"/>
    <w:rsid w:val="001301FC"/>
    <w:rsid w:val="001306D2"/>
    <w:rsid w:val="00130E57"/>
    <w:rsid w:val="001320A1"/>
    <w:rsid w:val="00132232"/>
    <w:rsid w:val="00132767"/>
    <w:rsid w:val="00134C43"/>
    <w:rsid w:val="001353AA"/>
    <w:rsid w:val="001361E9"/>
    <w:rsid w:val="0013685C"/>
    <w:rsid w:val="00136D4B"/>
    <w:rsid w:val="00142206"/>
    <w:rsid w:val="0014363A"/>
    <w:rsid w:val="00144016"/>
    <w:rsid w:val="0014416A"/>
    <w:rsid w:val="00144283"/>
    <w:rsid w:val="00145476"/>
    <w:rsid w:val="00145556"/>
    <w:rsid w:val="00147053"/>
    <w:rsid w:val="001509C4"/>
    <w:rsid w:val="001528FB"/>
    <w:rsid w:val="00153A86"/>
    <w:rsid w:val="00154A2E"/>
    <w:rsid w:val="00154B20"/>
    <w:rsid w:val="00154BCD"/>
    <w:rsid w:val="001552E9"/>
    <w:rsid w:val="0016081F"/>
    <w:rsid w:val="00160B41"/>
    <w:rsid w:val="0016161C"/>
    <w:rsid w:val="00162CA1"/>
    <w:rsid w:val="00165776"/>
    <w:rsid w:val="001659C3"/>
    <w:rsid w:val="00166C5F"/>
    <w:rsid w:val="0016733F"/>
    <w:rsid w:val="00170228"/>
    <w:rsid w:val="00170FE7"/>
    <w:rsid w:val="001715BA"/>
    <w:rsid w:val="00173FB3"/>
    <w:rsid w:val="00176510"/>
    <w:rsid w:val="00176DE5"/>
    <w:rsid w:val="0018070F"/>
    <w:rsid w:val="0018145A"/>
    <w:rsid w:val="00182A17"/>
    <w:rsid w:val="00182A25"/>
    <w:rsid w:val="00183033"/>
    <w:rsid w:val="0018306C"/>
    <w:rsid w:val="00183430"/>
    <w:rsid w:val="0018474F"/>
    <w:rsid w:val="00185BD3"/>
    <w:rsid w:val="00186ECC"/>
    <w:rsid w:val="00187E8B"/>
    <w:rsid w:val="00190333"/>
    <w:rsid w:val="00190816"/>
    <w:rsid w:val="00190D9D"/>
    <w:rsid w:val="00191D3E"/>
    <w:rsid w:val="0019397F"/>
    <w:rsid w:val="001944F8"/>
    <w:rsid w:val="001974F9"/>
    <w:rsid w:val="00197F85"/>
    <w:rsid w:val="001A1BA9"/>
    <w:rsid w:val="001A59C1"/>
    <w:rsid w:val="001A5E22"/>
    <w:rsid w:val="001A691F"/>
    <w:rsid w:val="001A70B1"/>
    <w:rsid w:val="001B3ADC"/>
    <w:rsid w:val="001B5603"/>
    <w:rsid w:val="001B5A23"/>
    <w:rsid w:val="001B624A"/>
    <w:rsid w:val="001B6BA9"/>
    <w:rsid w:val="001B7436"/>
    <w:rsid w:val="001B7E23"/>
    <w:rsid w:val="001C0156"/>
    <w:rsid w:val="001C039A"/>
    <w:rsid w:val="001C320E"/>
    <w:rsid w:val="001D0635"/>
    <w:rsid w:val="001D0E44"/>
    <w:rsid w:val="001D0ED3"/>
    <w:rsid w:val="001D103A"/>
    <w:rsid w:val="001D10C1"/>
    <w:rsid w:val="001D1C9C"/>
    <w:rsid w:val="001D46E9"/>
    <w:rsid w:val="001D506D"/>
    <w:rsid w:val="001D5A36"/>
    <w:rsid w:val="001D5F52"/>
    <w:rsid w:val="001D618A"/>
    <w:rsid w:val="001D7DE8"/>
    <w:rsid w:val="001E00AB"/>
    <w:rsid w:val="001E12EA"/>
    <w:rsid w:val="001E155C"/>
    <w:rsid w:val="001E1C44"/>
    <w:rsid w:val="001E2C6A"/>
    <w:rsid w:val="001E302D"/>
    <w:rsid w:val="001E43D7"/>
    <w:rsid w:val="001E4B15"/>
    <w:rsid w:val="001E6D19"/>
    <w:rsid w:val="001E736E"/>
    <w:rsid w:val="001E7DF2"/>
    <w:rsid w:val="001E7E97"/>
    <w:rsid w:val="001F07A9"/>
    <w:rsid w:val="001F0C69"/>
    <w:rsid w:val="001F17BC"/>
    <w:rsid w:val="001F37B3"/>
    <w:rsid w:val="001F40C1"/>
    <w:rsid w:val="001F606E"/>
    <w:rsid w:val="001F74BC"/>
    <w:rsid w:val="00200433"/>
    <w:rsid w:val="00201271"/>
    <w:rsid w:val="002015FD"/>
    <w:rsid w:val="002015FF"/>
    <w:rsid w:val="00201A78"/>
    <w:rsid w:val="002043DD"/>
    <w:rsid w:val="00205E7F"/>
    <w:rsid w:val="00211A6D"/>
    <w:rsid w:val="00211F01"/>
    <w:rsid w:val="002127E7"/>
    <w:rsid w:val="0021396E"/>
    <w:rsid w:val="0021403A"/>
    <w:rsid w:val="00214AED"/>
    <w:rsid w:val="00214C3B"/>
    <w:rsid w:val="002152D0"/>
    <w:rsid w:val="00215410"/>
    <w:rsid w:val="002155C8"/>
    <w:rsid w:val="002157E3"/>
    <w:rsid w:val="00215BBB"/>
    <w:rsid w:val="002210C5"/>
    <w:rsid w:val="00222E9B"/>
    <w:rsid w:val="002231EE"/>
    <w:rsid w:val="002238A5"/>
    <w:rsid w:val="00223BFF"/>
    <w:rsid w:val="00225F83"/>
    <w:rsid w:val="00226144"/>
    <w:rsid w:val="00227F7E"/>
    <w:rsid w:val="00231223"/>
    <w:rsid w:val="00232B3F"/>
    <w:rsid w:val="002345D0"/>
    <w:rsid w:val="0023647D"/>
    <w:rsid w:val="0023663C"/>
    <w:rsid w:val="00236BDC"/>
    <w:rsid w:val="00237AF8"/>
    <w:rsid w:val="002406AA"/>
    <w:rsid w:val="00240AE3"/>
    <w:rsid w:val="0024129B"/>
    <w:rsid w:val="00241339"/>
    <w:rsid w:val="00242CBF"/>
    <w:rsid w:val="00244B60"/>
    <w:rsid w:val="0024559A"/>
    <w:rsid w:val="00246630"/>
    <w:rsid w:val="00246964"/>
    <w:rsid w:val="00246D04"/>
    <w:rsid w:val="00247B69"/>
    <w:rsid w:val="002500E2"/>
    <w:rsid w:val="00250D9F"/>
    <w:rsid w:val="00250E3D"/>
    <w:rsid w:val="002511C4"/>
    <w:rsid w:val="00253052"/>
    <w:rsid w:val="00254C57"/>
    <w:rsid w:val="0025533F"/>
    <w:rsid w:val="00255535"/>
    <w:rsid w:val="00260568"/>
    <w:rsid w:val="00260DB8"/>
    <w:rsid w:val="002623D9"/>
    <w:rsid w:val="00262DFF"/>
    <w:rsid w:val="002667AD"/>
    <w:rsid w:val="00267338"/>
    <w:rsid w:val="0027083D"/>
    <w:rsid w:val="00272110"/>
    <w:rsid w:val="00272BF1"/>
    <w:rsid w:val="002748F6"/>
    <w:rsid w:val="0027582F"/>
    <w:rsid w:val="00275B57"/>
    <w:rsid w:val="00280116"/>
    <w:rsid w:val="00280E16"/>
    <w:rsid w:val="0028159E"/>
    <w:rsid w:val="00281680"/>
    <w:rsid w:val="002825EB"/>
    <w:rsid w:val="002829A7"/>
    <w:rsid w:val="00285FE7"/>
    <w:rsid w:val="002875C9"/>
    <w:rsid w:val="002901FD"/>
    <w:rsid w:val="00291B76"/>
    <w:rsid w:val="00291D97"/>
    <w:rsid w:val="002926D0"/>
    <w:rsid w:val="0029357F"/>
    <w:rsid w:val="00293F01"/>
    <w:rsid w:val="002957A3"/>
    <w:rsid w:val="00296C2F"/>
    <w:rsid w:val="00296E9C"/>
    <w:rsid w:val="002A0A9C"/>
    <w:rsid w:val="002A0C29"/>
    <w:rsid w:val="002A171D"/>
    <w:rsid w:val="002A1958"/>
    <w:rsid w:val="002A2F54"/>
    <w:rsid w:val="002A3C0B"/>
    <w:rsid w:val="002B2890"/>
    <w:rsid w:val="002B4828"/>
    <w:rsid w:val="002B5842"/>
    <w:rsid w:val="002B6CB0"/>
    <w:rsid w:val="002C0259"/>
    <w:rsid w:val="002C1279"/>
    <w:rsid w:val="002C284C"/>
    <w:rsid w:val="002C305F"/>
    <w:rsid w:val="002C3A0A"/>
    <w:rsid w:val="002C452A"/>
    <w:rsid w:val="002C4660"/>
    <w:rsid w:val="002C667B"/>
    <w:rsid w:val="002C6809"/>
    <w:rsid w:val="002C6A98"/>
    <w:rsid w:val="002C7BE9"/>
    <w:rsid w:val="002D0514"/>
    <w:rsid w:val="002D2AC0"/>
    <w:rsid w:val="002D2E91"/>
    <w:rsid w:val="002D3A59"/>
    <w:rsid w:val="002D4809"/>
    <w:rsid w:val="002D496B"/>
    <w:rsid w:val="002D4FC3"/>
    <w:rsid w:val="002D63FC"/>
    <w:rsid w:val="002D640E"/>
    <w:rsid w:val="002E06BF"/>
    <w:rsid w:val="002E451E"/>
    <w:rsid w:val="002E5780"/>
    <w:rsid w:val="002E61B1"/>
    <w:rsid w:val="002E6753"/>
    <w:rsid w:val="002F155F"/>
    <w:rsid w:val="002F2C0A"/>
    <w:rsid w:val="002F2C14"/>
    <w:rsid w:val="002F2FFE"/>
    <w:rsid w:val="002F4185"/>
    <w:rsid w:val="002F41B2"/>
    <w:rsid w:val="002F5419"/>
    <w:rsid w:val="002F5544"/>
    <w:rsid w:val="002F6068"/>
    <w:rsid w:val="002F6878"/>
    <w:rsid w:val="002F7F7E"/>
    <w:rsid w:val="00300D15"/>
    <w:rsid w:val="0030360E"/>
    <w:rsid w:val="00303AAF"/>
    <w:rsid w:val="00303DE0"/>
    <w:rsid w:val="00303E7B"/>
    <w:rsid w:val="00304F05"/>
    <w:rsid w:val="003053D6"/>
    <w:rsid w:val="00306091"/>
    <w:rsid w:val="003073B9"/>
    <w:rsid w:val="00312757"/>
    <w:rsid w:val="0031301D"/>
    <w:rsid w:val="003138F9"/>
    <w:rsid w:val="00314392"/>
    <w:rsid w:val="003145E7"/>
    <w:rsid w:val="003211D8"/>
    <w:rsid w:val="0032133D"/>
    <w:rsid w:val="00322543"/>
    <w:rsid w:val="00322694"/>
    <w:rsid w:val="00322D78"/>
    <w:rsid w:val="00323885"/>
    <w:rsid w:val="003239AB"/>
    <w:rsid w:val="003250B8"/>
    <w:rsid w:val="0032659B"/>
    <w:rsid w:val="003268C6"/>
    <w:rsid w:val="00326EAC"/>
    <w:rsid w:val="00327181"/>
    <w:rsid w:val="00327460"/>
    <w:rsid w:val="00327650"/>
    <w:rsid w:val="00327CD8"/>
    <w:rsid w:val="0033004E"/>
    <w:rsid w:val="003323A1"/>
    <w:rsid w:val="003324A7"/>
    <w:rsid w:val="0033382E"/>
    <w:rsid w:val="00336312"/>
    <w:rsid w:val="00340A67"/>
    <w:rsid w:val="00340B00"/>
    <w:rsid w:val="00341614"/>
    <w:rsid w:val="0034195C"/>
    <w:rsid w:val="00341E67"/>
    <w:rsid w:val="00344D28"/>
    <w:rsid w:val="0034546F"/>
    <w:rsid w:val="003454A5"/>
    <w:rsid w:val="00345873"/>
    <w:rsid w:val="00346EEF"/>
    <w:rsid w:val="0034787D"/>
    <w:rsid w:val="00352BED"/>
    <w:rsid w:val="00352F52"/>
    <w:rsid w:val="00353E19"/>
    <w:rsid w:val="00354003"/>
    <w:rsid w:val="0035422A"/>
    <w:rsid w:val="00354557"/>
    <w:rsid w:val="00355983"/>
    <w:rsid w:val="00356D43"/>
    <w:rsid w:val="00357B3D"/>
    <w:rsid w:val="003614B5"/>
    <w:rsid w:val="0036198D"/>
    <w:rsid w:val="00361E08"/>
    <w:rsid w:val="003637F7"/>
    <w:rsid w:val="0036383A"/>
    <w:rsid w:val="003643BC"/>
    <w:rsid w:val="00364C4C"/>
    <w:rsid w:val="003650A2"/>
    <w:rsid w:val="00371A18"/>
    <w:rsid w:val="0037269D"/>
    <w:rsid w:val="00372BC0"/>
    <w:rsid w:val="003730D4"/>
    <w:rsid w:val="00374009"/>
    <w:rsid w:val="003758F9"/>
    <w:rsid w:val="00375929"/>
    <w:rsid w:val="00376BA5"/>
    <w:rsid w:val="0037723E"/>
    <w:rsid w:val="0038041B"/>
    <w:rsid w:val="0038065C"/>
    <w:rsid w:val="00380D82"/>
    <w:rsid w:val="00381A71"/>
    <w:rsid w:val="003841A4"/>
    <w:rsid w:val="00385035"/>
    <w:rsid w:val="00385D68"/>
    <w:rsid w:val="003860C5"/>
    <w:rsid w:val="00386265"/>
    <w:rsid w:val="003906FC"/>
    <w:rsid w:val="00390B64"/>
    <w:rsid w:val="00391CF9"/>
    <w:rsid w:val="00392E3F"/>
    <w:rsid w:val="00393CDB"/>
    <w:rsid w:val="0039433D"/>
    <w:rsid w:val="00394EC0"/>
    <w:rsid w:val="003955B0"/>
    <w:rsid w:val="00395E21"/>
    <w:rsid w:val="00396BFD"/>
    <w:rsid w:val="00397062"/>
    <w:rsid w:val="003976AD"/>
    <w:rsid w:val="003A182E"/>
    <w:rsid w:val="003A20A1"/>
    <w:rsid w:val="003A402C"/>
    <w:rsid w:val="003A4791"/>
    <w:rsid w:val="003A4A4F"/>
    <w:rsid w:val="003A601F"/>
    <w:rsid w:val="003A79DA"/>
    <w:rsid w:val="003A7FC4"/>
    <w:rsid w:val="003B020C"/>
    <w:rsid w:val="003B27A8"/>
    <w:rsid w:val="003B51CA"/>
    <w:rsid w:val="003B6079"/>
    <w:rsid w:val="003B61DC"/>
    <w:rsid w:val="003C0B94"/>
    <w:rsid w:val="003C28C3"/>
    <w:rsid w:val="003C2D2C"/>
    <w:rsid w:val="003C4906"/>
    <w:rsid w:val="003C7274"/>
    <w:rsid w:val="003D09BD"/>
    <w:rsid w:val="003D4150"/>
    <w:rsid w:val="003D4E05"/>
    <w:rsid w:val="003D4EF3"/>
    <w:rsid w:val="003D6FE4"/>
    <w:rsid w:val="003E00A1"/>
    <w:rsid w:val="003E07ED"/>
    <w:rsid w:val="003E0CA6"/>
    <w:rsid w:val="003E0ED9"/>
    <w:rsid w:val="003E0FF1"/>
    <w:rsid w:val="003E12CE"/>
    <w:rsid w:val="003E4F0A"/>
    <w:rsid w:val="003E55DB"/>
    <w:rsid w:val="003E5B6C"/>
    <w:rsid w:val="003E5EA7"/>
    <w:rsid w:val="003E7E3B"/>
    <w:rsid w:val="003F07C7"/>
    <w:rsid w:val="003F0D97"/>
    <w:rsid w:val="003F1503"/>
    <w:rsid w:val="003F3420"/>
    <w:rsid w:val="003F577C"/>
    <w:rsid w:val="003F6160"/>
    <w:rsid w:val="003F70EB"/>
    <w:rsid w:val="003F72B2"/>
    <w:rsid w:val="004016D4"/>
    <w:rsid w:val="00401BE9"/>
    <w:rsid w:val="00403B31"/>
    <w:rsid w:val="0040587E"/>
    <w:rsid w:val="00406BCF"/>
    <w:rsid w:val="004110CA"/>
    <w:rsid w:val="00411960"/>
    <w:rsid w:val="00411A19"/>
    <w:rsid w:val="0041219A"/>
    <w:rsid w:val="0041279C"/>
    <w:rsid w:val="004153B9"/>
    <w:rsid w:val="004174AC"/>
    <w:rsid w:val="0042136F"/>
    <w:rsid w:val="004227AF"/>
    <w:rsid w:val="004229AA"/>
    <w:rsid w:val="00425DEB"/>
    <w:rsid w:val="0042637D"/>
    <w:rsid w:val="00426A42"/>
    <w:rsid w:val="00426D94"/>
    <w:rsid w:val="00431DB0"/>
    <w:rsid w:val="004337F2"/>
    <w:rsid w:val="00433ED2"/>
    <w:rsid w:val="00435052"/>
    <w:rsid w:val="00436150"/>
    <w:rsid w:val="00441084"/>
    <w:rsid w:val="00441EF3"/>
    <w:rsid w:val="00442A8E"/>
    <w:rsid w:val="004458BE"/>
    <w:rsid w:val="004464EF"/>
    <w:rsid w:val="00447EAE"/>
    <w:rsid w:val="00450918"/>
    <w:rsid w:val="00453263"/>
    <w:rsid w:val="004571EC"/>
    <w:rsid w:val="00461F67"/>
    <w:rsid w:val="004641F4"/>
    <w:rsid w:val="004643D9"/>
    <w:rsid w:val="00464FAB"/>
    <w:rsid w:val="004655FA"/>
    <w:rsid w:val="0046661B"/>
    <w:rsid w:val="00466F50"/>
    <w:rsid w:val="004678F9"/>
    <w:rsid w:val="00467D8E"/>
    <w:rsid w:val="00470D91"/>
    <w:rsid w:val="004728C2"/>
    <w:rsid w:val="00472DFC"/>
    <w:rsid w:val="00473042"/>
    <w:rsid w:val="00473E44"/>
    <w:rsid w:val="00475D8B"/>
    <w:rsid w:val="00476299"/>
    <w:rsid w:val="00477A57"/>
    <w:rsid w:val="0048167F"/>
    <w:rsid w:val="00483E41"/>
    <w:rsid w:val="00484659"/>
    <w:rsid w:val="00485084"/>
    <w:rsid w:val="004856D5"/>
    <w:rsid w:val="00485DC9"/>
    <w:rsid w:val="004863D3"/>
    <w:rsid w:val="00486E45"/>
    <w:rsid w:val="004904D3"/>
    <w:rsid w:val="00492141"/>
    <w:rsid w:val="004936E1"/>
    <w:rsid w:val="00494542"/>
    <w:rsid w:val="00495705"/>
    <w:rsid w:val="00495CFD"/>
    <w:rsid w:val="00496953"/>
    <w:rsid w:val="00497A76"/>
    <w:rsid w:val="00497E33"/>
    <w:rsid w:val="004A0DAB"/>
    <w:rsid w:val="004A1292"/>
    <w:rsid w:val="004A176D"/>
    <w:rsid w:val="004A1BFE"/>
    <w:rsid w:val="004A3BDD"/>
    <w:rsid w:val="004A4049"/>
    <w:rsid w:val="004A4769"/>
    <w:rsid w:val="004A4A72"/>
    <w:rsid w:val="004A565D"/>
    <w:rsid w:val="004A5C38"/>
    <w:rsid w:val="004A7216"/>
    <w:rsid w:val="004B4652"/>
    <w:rsid w:val="004B47F3"/>
    <w:rsid w:val="004B60FC"/>
    <w:rsid w:val="004B65EB"/>
    <w:rsid w:val="004B7936"/>
    <w:rsid w:val="004C1EF7"/>
    <w:rsid w:val="004C21C9"/>
    <w:rsid w:val="004C4757"/>
    <w:rsid w:val="004C4891"/>
    <w:rsid w:val="004C48A2"/>
    <w:rsid w:val="004C6028"/>
    <w:rsid w:val="004D1BD0"/>
    <w:rsid w:val="004D1DF5"/>
    <w:rsid w:val="004D2309"/>
    <w:rsid w:val="004D6FC3"/>
    <w:rsid w:val="004E1F95"/>
    <w:rsid w:val="004E2438"/>
    <w:rsid w:val="004E3401"/>
    <w:rsid w:val="004E4C68"/>
    <w:rsid w:val="004E6408"/>
    <w:rsid w:val="004E6558"/>
    <w:rsid w:val="004F4426"/>
    <w:rsid w:val="004F4A75"/>
    <w:rsid w:val="004F51F8"/>
    <w:rsid w:val="004F5A79"/>
    <w:rsid w:val="004F60F5"/>
    <w:rsid w:val="004F66E6"/>
    <w:rsid w:val="00500A85"/>
    <w:rsid w:val="00500ACA"/>
    <w:rsid w:val="005027CA"/>
    <w:rsid w:val="00502D64"/>
    <w:rsid w:val="00504DDF"/>
    <w:rsid w:val="005051F9"/>
    <w:rsid w:val="005056D8"/>
    <w:rsid w:val="00505793"/>
    <w:rsid w:val="00507867"/>
    <w:rsid w:val="00510A3D"/>
    <w:rsid w:val="00510BE8"/>
    <w:rsid w:val="00511800"/>
    <w:rsid w:val="0051186E"/>
    <w:rsid w:val="0051191D"/>
    <w:rsid w:val="0051336A"/>
    <w:rsid w:val="00513580"/>
    <w:rsid w:val="00515DCF"/>
    <w:rsid w:val="00516A16"/>
    <w:rsid w:val="0051751B"/>
    <w:rsid w:val="00520328"/>
    <w:rsid w:val="00520E75"/>
    <w:rsid w:val="00522BA1"/>
    <w:rsid w:val="00524EEC"/>
    <w:rsid w:val="0052512B"/>
    <w:rsid w:val="00525F07"/>
    <w:rsid w:val="00526CB6"/>
    <w:rsid w:val="00526E4D"/>
    <w:rsid w:val="005275C5"/>
    <w:rsid w:val="00527C1F"/>
    <w:rsid w:val="00527FDF"/>
    <w:rsid w:val="00530B10"/>
    <w:rsid w:val="005314CA"/>
    <w:rsid w:val="0053565C"/>
    <w:rsid w:val="00536895"/>
    <w:rsid w:val="00541396"/>
    <w:rsid w:val="00542749"/>
    <w:rsid w:val="005450EF"/>
    <w:rsid w:val="00545EB4"/>
    <w:rsid w:val="00547300"/>
    <w:rsid w:val="00550847"/>
    <w:rsid w:val="00550D7F"/>
    <w:rsid w:val="00550E29"/>
    <w:rsid w:val="00551771"/>
    <w:rsid w:val="005523DD"/>
    <w:rsid w:val="00553704"/>
    <w:rsid w:val="00554EE4"/>
    <w:rsid w:val="00557871"/>
    <w:rsid w:val="0056130E"/>
    <w:rsid w:val="00562C90"/>
    <w:rsid w:val="00562ECF"/>
    <w:rsid w:val="005630E9"/>
    <w:rsid w:val="00563354"/>
    <w:rsid w:val="00564073"/>
    <w:rsid w:val="00565741"/>
    <w:rsid w:val="00565B3F"/>
    <w:rsid w:val="00566156"/>
    <w:rsid w:val="00566A43"/>
    <w:rsid w:val="00573783"/>
    <w:rsid w:val="00573FD8"/>
    <w:rsid w:val="005746C3"/>
    <w:rsid w:val="005756AC"/>
    <w:rsid w:val="00575C4B"/>
    <w:rsid w:val="00575DDB"/>
    <w:rsid w:val="00576715"/>
    <w:rsid w:val="00580411"/>
    <w:rsid w:val="005811A1"/>
    <w:rsid w:val="00581464"/>
    <w:rsid w:val="0058159B"/>
    <w:rsid w:val="00582475"/>
    <w:rsid w:val="00582D9A"/>
    <w:rsid w:val="0058375C"/>
    <w:rsid w:val="00584075"/>
    <w:rsid w:val="005858F8"/>
    <w:rsid w:val="00586B8D"/>
    <w:rsid w:val="00590C24"/>
    <w:rsid w:val="00592C9E"/>
    <w:rsid w:val="00594FC6"/>
    <w:rsid w:val="00596309"/>
    <w:rsid w:val="005973ED"/>
    <w:rsid w:val="00597C1E"/>
    <w:rsid w:val="005A0181"/>
    <w:rsid w:val="005A01C1"/>
    <w:rsid w:val="005A226F"/>
    <w:rsid w:val="005A3027"/>
    <w:rsid w:val="005A316A"/>
    <w:rsid w:val="005B3E3D"/>
    <w:rsid w:val="005B456E"/>
    <w:rsid w:val="005B6CBB"/>
    <w:rsid w:val="005C0220"/>
    <w:rsid w:val="005C08A8"/>
    <w:rsid w:val="005C2754"/>
    <w:rsid w:val="005C4739"/>
    <w:rsid w:val="005C7F8D"/>
    <w:rsid w:val="005D047E"/>
    <w:rsid w:val="005D08F5"/>
    <w:rsid w:val="005D125E"/>
    <w:rsid w:val="005D1540"/>
    <w:rsid w:val="005D25F4"/>
    <w:rsid w:val="005D26E1"/>
    <w:rsid w:val="005D3957"/>
    <w:rsid w:val="005D5DA1"/>
    <w:rsid w:val="005D68DD"/>
    <w:rsid w:val="005D7416"/>
    <w:rsid w:val="005D796A"/>
    <w:rsid w:val="005D79D8"/>
    <w:rsid w:val="005E05FE"/>
    <w:rsid w:val="005E154B"/>
    <w:rsid w:val="005E19D0"/>
    <w:rsid w:val="005E205C"/>
    <w:rsid w:val="005E2091"/>
    <w:rsid w:val="005E49FF"/>
    <w:rsid w:val="005E5963"/>
    <w:rsid w:val="005E5981"/>
    <w:rsid w:val="005F1F74"/>
    <w:rsid w:val="005F6925"/>
    <w:rsid w:val="005F6C24"/>
    <w:rsid w:val="005F6F2D"/>
    <w:rsid w:val="005F703C"/>
    <w:rsid w:val="005F7C38"/>
    <w:rsid w:val="00604653"/>
    <w:rsid w:val="00604AFF"/>
    <w:rsid w:val="006073B2"/>
    <w:rsid w:val="006075D0"/>
    <w:rsid w:val="00610182"/>
    <w:rsid w:val="00611819"/>
    <w:rsid w:val="0061188B"/>
    <w:rsid w:val="00611BD0"/>
    <w:rsid w:val="00612589"/>
    <w:rsid w:val="006141D5"/>
    <w:rsid w:val="00614CA8"/>
    <w:rsid w:val="0061687C"/>
    <w:rsid w:val="006170B5"/>
    <w:rsid w:val="00617FA5"/>
    <w:rsid w:val="006239A2"/>
    <w:rsid w:val="006247C3"/>
    <w:rsid w:val="00624981"/>
    <w:rsid w:val="00626235"/>
    <w:rsid w:val="006315B9"/>
    <w:rsid w:val="00631931"/>
    <w:rsid w:val="00633B46"/>
    <w:rsid w:val="0063599E"/>
    <w:rsid w:val="00640561"/>
    <w:rsid w:val="0064366C"/>
    <w:rsid w:val="006441BC"/>
    <w:rsid w:val="00644DB4"/>
    <w:rsid w:val="0064718C"/>
    <w:rsid w:val="00650737"/>
    <w:rsid w:val="00653A30"/>
    <w:rsid w:val="00656750"/>
    <w:rsid w:val="00657D4F"/>
    <w:rsid w:val="006603BA"/>
    <w:rsid w:val="00661672"/>
    <w:rsid w:val="00661A74"/>
    <w:rsid w:val="006624C4"/>
    <w:rsid w:val="00663F37"/>
    <w:rsid w:val="00665FAA"/>
    <w:rsid w:val="006675FF"/>
    <w:rsid w:val="006706F8"/>
    <w:rsid w:val="00671244"/>
    <w:rsid w:val="00673479"/>
    <w:rsid w:val="0067347B"/>
    <w:rsid w:val="00673A1E"/>
    <w:rsid w:val="00676EA8"/>
    <w:rsid w:val="00676FB9"/>
    <w:rsid w:val="0067766B"/>
    <w:rsid w:val="006805FD"/>
    <w:rsid w:val="00683A4C"/>
    <w:rsid w:val="006842B0"/>
    <w:rsid w:val="006853C4"/>
    <w:rsid w:val="00685714"/>
    <w:rsid w:val="00686739"/>
    <w:rsid w:val="00686F6A"/>
    <w:rsid w:val="00687A2F"/>
    <w:rsid w:val="00690517"/>
    <w:rsid w:val="00691D9B"/>
    <w:rsid w:val="00691DFA"/>
    <w:rsid w:val="00692274"/>
    <w:rsid w:val="00692492"/>
    <w:rsid w:val="006924CA"/>
    <w:rsid w:val="00693D0A"/>
    <w:rsid w:val="0069737B"/>
    <w:rsid w:val="0069741B"/>
    <w:rsid w:val="006A06D9"/>
    <w:rsid w:val="006A2169"/>
    <w:rsid w:val="006A2442"/>
    <w:rsid w:val="006A44BA"/>
    <w:rsid w:val="006A5331"/>
    <w:rsid w:val="006A695D"/>
    <w:rsid w:val="006A77E2"/>
    <w:rsid w:val="006B0B47"/>
    <w:rsid w:val="006B1FEB"/>
    <w:rsid w:val="006B36C7"/>
    <w:rsid w:val="006B4AAD"/>
    <w:rsid w:val="006B51B7"/>
    <w:rsid w:val="006B54C4"/>
    <w:rsid w:val="006B5AE3"/>
    <w:rsid w:val="006B5B60"/>
    <w:rsid w:val="006B62AE"/>
    <w:rsid w:val="006B66FB"/>
    <w:rsid w:val="006B6862"/>
    <w:rsid w:val="006B75E6"/>
    <w:rsid w:val="006C0F6C"/>
    <w:rsid w:val="006C1829"/>
    <w:rsid w:val="006C24A0"/>
    <w:rsid w:val="006C346E"/>
    <w:rsid w:val="006C5245"/>
    <w:rsid w:val="006D00C5"/>
    <w:rsid w:val="006D02FD"/>
    <w:rsid w:val="006D14AC"/>
    <w:rsid w:val="006D242E"/>
    <w:rsid w:val="006D2515"/>
    <w:rsid w:val="006D3927"/>
    <w:rsid w:val="006D48BE"/>
    <w:rsid w:val="006D4E2A"/>
    <w:rsid w:val="006D56C0"/>
    <w:rsid w:val="006D593A"/>
    <w:rsid w:val="006D73E5"/>
    <w:rsid w:val="006D7438"/>
    <w:rsid w:val="006E06D3"/>
    <w:rsid w:val="006E3068"/>
    <w:rsid w:val="006E46EF"/>
    <w:rsid w:val="006E4A84"/>
    <w:rsid w:val="006E5891"/>
    <w:rsid w:val="006E5A28"/>
    <w:rsid w:val="006E65A5"/>
    <w:rsid w:val="006E7D44"/>
    <w:rsid w:val="006F0270"/>
    <w:rsid w:val="006F0294"/>
    <w:rsid w:val="006F17DE"/>
    <w:rsid w:val="006F20E2"/>
    <w:rsid w:val="006F6D90"/>
    <w:rsid w:val="006F70A2"/>
    <w:rsid w:val="00701C07"/>
    <w:rsid w:val="0070213E"/>
    <w:rsid w:val="00703439"/>
    <w:rsid w:val="00703A27"/>
    <w:rsid w:val="00706BF2"/>
    <w:rsid w:val="00710632"/>
    <w:rsid w:val="007107C5"/>
    <w:rsid w:val="00710DF7"/>
    <w:rsid w:val="007115C7"/>
    <w:rsid w:val="00711FF6"/>
    <w:rsid w:val="00712B03"/>
    <w:rsid w:val="00713CB4"/>
    <w:rsid w:val="007142FB"/>
    <w:rsid w:val="00715566"/>
    <w:rsid w:val="00720182"/>
    <w:rsid w:val="00722217"/>
    <w:rsid w:val="0072419E"/>
    <w:rsid w:val="00724A3A"/>
    <w:rsid w:val="00725E7E"/>
    <w:rsid w:val="007261D4"/>
    <w:rsid w:val="00726215"/>
    <w:rsid w:val="00726453"/>
    <w:rsid w:val="0073004D"/>
    <w:rsid w:val="0073068B"/>
    <w:rsid w:val="00730A97"/>
    <w:rsid w:val="00731372"/>
    <w:rsid w:val="007315C4"/>
    <w:rsid w:val="00731F3A"/>
    <w:rsid w:val="0073360D"/>
    <w:rsid w:val="00733BD8"/>
    <w:rsid w:val="00734562"/>
    <w:rsid w:val="00740399"/>
    <w:rsid w:val="00741B86"/>
    <w:rsid w:val="007426AD"/>
    <w:rsid w:val="00742DB1"/>
    <w:rsid w:val="0074315A"/>
    <w:rsid w:val="0074516A"/>
    <w:rsid w:val="007451A3"/>
    <w:rsid w:val="00745980"/>
    <w:rsid w:val="0074604A"/>
    <w:rsid w:val="00750F4C"/>
    <w:rsid w:val="007517FB"/>
    <w:rsid w:val="007525D2"/>
    <w:rsid w:val="00752D7A"/>
    <w:rsid w:val="00756275"/>
    <w:rsid w:val="00756DE3"/>
    <w:rsid w:val="007612B3"/>
    <w:rsid w:val="00761F81"/>
    <w:rsid w:val="007624C2"/>
    <w:rsid w:val="00762FD6"/>
    <w:rsid w:val="00763DD0"/>
    <w:rsid w:val="007667F4"/>
    <w:rsid w:val="00767EEC"/>
    <w:rsid w:val="00770D09"/>
    <w:rsid w:val="00771E5B"/>
    <w:rsid w:val="00771F28"/>
    <w:rsid w:val="0077261D"/>
    <w:rsid w:val="00772B55"/>
    <w:rsid w:val="00775886"/>
    <w:rsid w:val="00775B44"/>
    <w:rsid w:val="00775CDB"/>
    <w:rsid w:val="0077632E"/>
    <w:rsid w:val="007774F2"/>
    <w:rsid w:val="00777F25"/>
    <w:rsid w:val="007802DE"/>
    <w:rsid w:val="00780567"/>
    <w:rsid w:val="007817C9"/>
    <w:rsid w:val="00782961"/>
    <w:rsid w:val="00783031"/>
    <w:rsid w:val="007831FD"/>
    <w:rsid w:val="0078412F"/>
    <w:rsid w:val="007843C8"/>
    <w:rsid w:val="00785FBD"/>
    <w:rsid w:val="00787946"/>
    <w:rsid w:val="00790648"/>
    <w:rsid w:val="00790B92"/>
    <w:rsid w:val="00791757"/>
    <w:rsid w:val="007926AE"/>
    <w:rsid w:val="0079271A"/>
    <w:rsid w:val="0079316E"/>
    <w:rsid w:val="00796C88"/>
    <w:rsid w:val="007979E5"/>
    <w:rsid w:val="007A0B00"/>
    <w:rsid w:val="007A1C4E"/>
    <w:rsid w:val="007A2218"/>
    <w:rsid w:val="007A2656"/>
    <w:rsid w:val="007A2C1A"/>
    <w:rsid w:val="007A3638"/>
    <w:rsid w:val="007B312D"/>
    <w:rsid w:val="007B4DB8"/>
    <w:rsid w:val="007B4E07"/>
    <w:rsid w:val="007B570B"/>
    <w:rsid w:val="007B6B08"/>
    <w:rsid w:val="007C03F2"/>
    <w:rsid w:val="007C1D18"/>
    <w:rsid w:val="007C2181"/>
    <w:rsid w:val="007C243A"/>
    <w:rsid w:val="007C2D2E"/>
    <w:rsid w:val="007C2D36"/>
    <w:rsid w:val="007C533A"/>
    <w:rsid w:val="007C7612"/>
    <w:rsid w:val="007E09BE"/>
    <w:rsid w:val="007E0D9E"/>
    <w:rsid w:val="007E2459"/>
    <w:rsid w:val="007E31A7"/>
    <w:rsid w:val="007E5CF7"/>
    <w:rsid w:val="007E6F4F"/>
    <w:rsid w:val="007E73FB"/>
    <w:rsid w:val="007F0D96"/>
    <w:rsid w:val="007F1129"/>
    <w:rsid w:val="007F30FD"/>
    <w:rsid w:val="007F36EA"/>
    <w:rsid w:val="007F3C97"/>
    <w:rsid w:val="007F6CFD"/>
    <w:rsid w:val="0080232A"/>
    <w:rsid w:val="00806D61"/>
    <w:rsid w:val="00810C60"/>
    <w:rsid w:val="00810F87"/>
    <w:rsid w:val="008110BE"/>
    <w:rsid w:val="008115BD"/>
    <w:rsid w:val="00814B11"/>
    <w:rsid w:val="00814F9E"/>
    <w:rsid w:val="00822A68"/>
    <w:rsid w:val="00824E50"/>
    <w:rsid w:val="00825AD9"/>
    <w:rsid w:val="00825D7F"/>
    <w:rsid w:val="00826E5A"/>
    <w:rsid w:val="008327C5"/>
    <w:rsid w:val="00832E09"/>
    <w:rsid w:val="00833D4F"/>
    <w:rsid w:val="00834624"/>
    <w:rsid w:val="00834FD4"/>
    <w:rsid w:val="00835B0D"/>
    <w:rsid w:val="0083632D"/>
    <w:rsid w:val="008373FA"/>
    <w:rsid w:val="008403D1"/>
    <w:rsid w:val="008403FC"/>
    <w:rsid w:val="00841EDE"/>
    <w:rsid w:val="00850A6E"/>
    <w:rsid w:val="00850AE7"/>
    <w:rsid w:val="00851506"/>
    <w:rsid w:val="008519DB"/>
    <w:rsid w:val="00851BAB"/>
    <w:rsid w:val="00852181"/>
    <w:rsid w:val="0085304C"/>
    <w:rsid w:val="00853CDF"/>
    <w:rsid w:val="00854140"/>
    <w:rsid w:val="00854934"/>
    <w:rsid w:val="00854B53"/>
    <w:rsid w:val="00857B8E"/>
    <w:rsid w:val="00857D39"/>
    <w:rsid w:val="00860D7F"/>
    <w:rsid w:val="00863960"/>
    <w:rsid w:val="00863EAE"/>
    <w:rsid w:val="008669BF"/>
    <w:rsid w:val="00867864"/>
    <w:rsid w:val="008739B2"/>
    <w:rsid w:val="00874047"/>
    <w:rsid w:val="00875316"/>
    <w:rsid w:val="00875909"/>
    <w:rsid w:val="0087616D"/>
    <w:rsid w:val="00876F79"/>
    <w:rsid w:val="00881DEA"/>
    <w:rsid w:val="008822BF"/>
    <w:rsid w:val="008854D1"/>
    <w:rsid w:val="00885C09"/>
    <w:rsid w:val="008861CC"/>
    <w:rsid w:val="00886299"/>
    <w:rsid w:val="00886BFE"/>
    <w:rsid w:val="00886F32"/>
    <w:rsid w:val="00887BAC"/>
    <w:rsid w:val="00887DDC"/>
    <w:rsid w:val="008900E5"/>
    <w:rsid w:val="0089153E"/>
    <w:rsid w:val="008967E2"/>
    <w:rsid w:val="00897FF6"/>
    <w:rsid w:val="008A0CD0"/>
    <w:rsid w:val="008A1D36"/>
    <w:rsid w:val="008A1EF1"/>
    <w:rsid w:val="008A40CB"/>
    <w:rsid w:val="008A5876"/>
    <w:rsid w:val="008A627E"/>
    <w:rsid w:val="008A6A90"/>
    <w:rsid w:val="008A7822"/>
    <w:rsid w:val="008B2569"/>
    <w:rsid w:val="008B271B"/>
    <w:rsid w:val="008B2B32"/>
    <w:rsid w:val="008B54AD"/>
    <w:rsid w:val="008B5D6B"/>
    <w:rsid w:val="008B63F9"/>
    <w:rsid w:val="008B7CA4"/>
    <w:rsid w:val="008C017C"/>
    <w:rsid w:val="008C11CC"/>
    <w:rsid w:val="008C1AFC"/>
    <w:rsid w:val="008C2A5E"/>
    <w:rsid w:val="008C2B5D"/>
    <w:rsid w:val="008C3E43"/>
    <w:rsid w:val="008C461B"/>
    <w:rsid w:val="008C5848"/>
    <w:rsid w:val="008C6E4E"/>
    <w:rsid w:val="008C7AA2"/>
    <w:rsid w:val="008D0A66"/>
    <w:rsid w:val="008D0DC4"/>
    <w:rsid w:val="008D2FD6"/>
    <w:rsid w:val="008D3860"/>
    <w:rsid w:val="008D4384"/>
    <w:rsid w:val="008D56BF"/>
    <w:rsid w:val="008D7B77"/>
    <w:rsid w:val="008D7EF2"/>
    <w:rsid w:val="008E2918"/>
    <w:rsid w:val="008E2B91"/>
    <w:rsid w:val="008E2D1F"/>
    <w:rsid w:val="008E426F"/>
    <w:rsid w:val="008E5ED7"/>
    <w:rsid w:val="008E6921"/>
    <w:rsid w:val="008E6C32"/>
    <w:rsid w:val="008E6DF8"/>
    <w:rsid w:val="008F006E"/>
    <w:rsid w:val="008F3134"/>
    <w:rsid w:val="008F342C"/>
    <w:rsid w:val="008F55D1"/>
    <w:rsid w:val="008F65A5"/>
    <w:rsid w:val="008F7B1C"/>
    <w:rsid w:val="008F7E4E"/>
    <w:rsid w:val="00900B53"/>
    <w:rsid w:val="00905DCF"/>
    <w:rsid w:val="0090617C"/>
    <w:rsid w:val="009069B5"/>
    <w:rsid w:val="00906B62"/>
    <w:rsid w:val="0090700F"/>
    <w:rsid w:val="009102C9"/>
    <w:rsid w:val="0091278B"/>
    <w:rsid w:val="00913AEA"/>
    <w:rsid w:val="009153CE"/>
    <w:rsid w:val="00915863"/>
    <w:rsid w:val="00915DC0"/>
    <w:rsid w:val="009171FB"/>
    <w:rsid w:val="0092015F"/>
    <w:rsid w:val="00920D3E"/>
    <w:rsid w:val="00921B3C"/>
    <w:rsid w:val="00921D30"/>
    <w:rsid w:val="009224A8"/>
    <w:rsid w:val="0092271C"/>
    <w:rsid w:val="00922BBD"/>
    <w:rsid w:val="00922BF3"/>
    <w:rsid w:val="00922D94"/>
    <w:rsid w:val="00924A5F"/>
    <w:rsid w:val="00926DEF"/>
    <w:rsid w:val="00926E43"/>
    <w:rsid w:val="00931C84"/>
    <w:rsid w:val="00932E79"/>
    <w:rsid w:val="009361E9"/>
    <w:rsid w:val="00937FBA"/>
    <w:rsid w:val="00941502"/>
    <w:rsid w:val="00943F8A"/>
    <w:rsid w:val="00946E1C"/>
    <w:rsid w:val="009475E8"/>
    <w:rsid w:val="00950255"/>
    <w:rsid w:val="0095079C"/>
    <w:rsid w:val="00950E31"/>
    <w:rsid w:val="0095230C"/>
    <w:rsid w:val="009527D3"/>
    <w:rsid w:val="00957BF5"/>
    <w:rsid w:val="00960D64"/>
    <w:rsid w:val="00962540"/>
    <w:rsid w:val="00964760"/>
    <w:rsid w:val="00964A92"/>
    <w:rsid w:val="0096552D"/>
    <w:rsid w:val="00965C9A"/>
    <w:rsid w:val="00965E4D"/>
    <w:rsid w:val="009678B1"/>
    <w:rsid w:val="00971796"/>
    <w:rsid w:val="00971ADC"/>
    <w:rsid w:val="009723B1"/>
    <w:rsid w:val="00972687"/>
    <w:rsid w:val="00972FE2"/>
    <w:rsid w:val="00973FF4"/>
    <w:rsid w:val="00974507"/>
    <w:rsid w:val="009767DB"/>
    <w:rsid w:val="00976817"/>
    <w:rsid w:val="0097698F"/>
    <w:rsid w:val="00977341"/>
    <w:rsid w:val="009807DC"/>
    <w:rsid w:val="00981515"/>
    <w:rsid w:val="00981D2A"/>
    <w:rsid w:val="00983EB6"/>
    <w:rsid w:val="009848F5"/>
    <w:rsid w:val="00985659"/>
    <w:rsid w:val="0098601B"/>
    <w:rsid w:val="0098648E"/>
    <w:rsid w:val="00986B5A"/>
    <w:rsid w:val="00990913"/>
    <w:rsid w:val="009911C0"/>
    <w:rsid w:val="0099123F"/>
    <w:rsid w:val="00992087"/>
    <w:rsid w:val="00993843"/>
    <w:rsid w:val="00994735"/>
    <w:rsid w:val="0099488A"/>
    <w:rsid w:val="00994A64"/>
    <w:rsid w:val="00994DC9"/>
    <w:rsid w:val="00995C3A"/>
    <w:rsid w:val="00996614"/>
    <w:rsid w:val="00997876"/>
    <w:rsid w:val="00997D95"/>
    <w:rsid w:val="009A0140"/>
    <w:rsid w:val="009A251D"/>
    <w:rsid w:val="009A2A48"/>
    <w:rsid w:val="009A324B"/>
    <w:rsid w:val="009A3587"/>
    <w:rsid w:val="009A37F0"/>
    <w:rsid w:val="009A45E5"/>
    <w:rsid w:val="009A4B26"/>
    <w:rsid w:val="009A54F1"/>
    <w:rsid w:val="009B146B"/>
    <w:rsid w:val="009B14B3"/>
    <w:rsid w:val="009B1FFA"/>
    <w:rsid w:val="009B2041"/>
    <w:rsid w:val="009B2828"/>
    <w:rsid w:val="009B2FCD"/>
    <w:rsid w:val="009B40CB"/>
    <w:rsid w:val="009B4303"/>
    <w:rsid w:val="009B514E"/>
    <w:rsid w:val="009B5C7A"/>
    <w:rsid w:val="009B6A13"/>
    <w:rsid w:val="009B7A28"/>
    <w:rsid w:val="009C020E"/>
    <w:rsid w:val="009C0305"/>
    <w:rsid w:val="009C0E38"/>
    <w:rsid w:val="009C1774"/>
    <w:rsid w:val="009C1B20"/>
    <w:rsid w:val="009C2C0E"/>
    <w:rsid w:val="009C6AF1"/>
    <w:rsid w:val="009D0A22"/>
    <w:rsid w:val="009D0FA0"/>
    <w:rsid w:val="009D304F"/>
    <w:rsid w:val="009D42F2"/>
    <w:rsid w:val="009D5278"/>
    <w:rsid w:val="009D6469"/>
    <w:rsid w:val="009D6E6B"/>
    <w:rsid w:val="009E098E"/>
    <w:rsid w:val="009E0A5A"/>
    <w:rsid w:val="009E0A63"/>
    <w:rsid w:val="009E0E06"/>
    <w:rsid w:val="009E3233"/>
    <w:rsid w:val="009E6208"/>
    <w:rsid w:val="009E75BB"/>
    <w:rsid w:val="009E7A16"/>
    <w:rsid w:val="009F25D9"/>
    <w:rsid w:val="009F3F8A"/>
    <w:rsid w:val="00A00A99"/>
    <w:rsid w:val="00A018FE"/>
    <w:rsid w:val="00A01954"/>
    <w:rsid w:val="00A03A29"/>
    <w:rsid w:val="00A0403B"/>
    <w:rsid w:val="00A04C64"/>
    <w:rsid w:val="00A05EFB"/>
    <w:rsid w:val="00A11667"/>
    <w:rsid w:val="00A12573"/>
    <w:rsid w:val="00A137F6"/>
    <w:rsid w:val="00A13AF1"/>
    <w:rsid w:val="00A13D4A"/>
    <w:rsid w:val="00A15130"/>
    <w:rsid w:val="00A16A79"/>
    <w:rsid w:val="00A17326"/>
    <w:rsid w:val="00A17CA7"/>
    <w:rsid w:val="00A17EA7"/>
    <w:rsid w:val="00A20C6A"/>
    <w:rsid w:val="00A21EB5"/>
    <w:rsid w:val="00A21F2B"/>
    <w:rsid w:val="00A22377"/>
    <w:rsid w:val="00A22446"/>
    <w:rsid w:val="00A22A35"/>
    <w:rsid w:val="00A23936"/>
    <w:rsid w:val="00A23F08"/>
    <w:rsid w:val="00A26DED"/>
    <w:rsid w:val="00A2715A"/>
    <w:rsid w:val="00A27550"/>
    <w:rsid w:val="00A27900"/>
    <w:rsid w:val="00A31770"/>
    <w:rsid w:val="00A325BC"/>
    <w:rsid w:val="00A3430C"/>
    <w:rsid w:val="00A34CB6"/>
    <w:rsid w:val="00A3551C"/>
    <w:rsid w:val="00A36486"/>
    <w:rsid w:val="00A36725"/>
    <w:rsid w:val="00A3684D"/>
    <w:rsid w:val="00A36B6F"/>
    <w:rsid w:val="00A36F3E"/>
    <w:rsid w:val="00A40C5C"/>
    <w:rsid w:val="00A41795"/>
    <w:rsid w:val="00A43CF7"/>
    <w:rsid w:val="00A43FF0"/>
    <w:rsid w:val="00A46AC1"/>
    <w:rsid w:val="00A46EF8"/>
    <w:rsid w:val="00A478A1"/>
    <w:rsid w:val="00A52468"/>
    <w:rsid w:val="00A53D12"/>
    <w:rsid w:val="00A54293"/>
    <w:rsid w:val="00A55298"/>
    <w:rsid w:val="00A555A2"/>
    <w:rsid w:val="00A57C3E"/>
    <w:rsid w:val="00A6031D"/>
    <w:rsid w:val="00A60EF6"/>
    <w:rsid w:val="00A611EF"/>
    <w:rsid w:val="00A62653"/>
    <w:rsid w:val="00A63A17"/>
    <w:rsid w:val="00A64B88"/>
    <w:rsid w:val="00A65BAC"/>
    <w:rsid w:val="00A66352"/>
    <w:rsid w:val="00A70551"/>
    <w:rsid w:val="00A71995"/>
    <w:rsid w:val="00A74833"/>
    <w:rsid w:val="00A8086E"/>
    <w:rsid w:val="00A8225F"/>
    <w:rsid w:val="00A82269"/>
    <w:rsid w:val="00A825CA"/>
    <w:rsid w:val="00A8377B"/>
    <w:rsid w:val="00A84476"/>
    <w:rsid w:val="00A85244"/>
    <w:rsid w:val="00A854F3"/>
    <w:rsid w:val="00A85A87"/>
    <w:rsid w:val="00A85DC2"/>
    <w:rsid w:val="00A867A8"/>
    <w:rsid w:val="00A9165D"/>
    <w:rsid w:val="00A91CB8"/>
    <w:rsid w:val="00A92C82"/>
    <w:rsid w:val="00A94542"/>
    <w:rsid w:val="00A951D6"/>
    <w:rsid w:val="00A9542D"/>
    <w:rsid w:val="00A9559B"/>
    <w:rsid w:val="00A9688D"/>
    <w:rsid w:val="00AA1201"/>
    <w:rsid w:val="00AA1AF5"/>
    <w:rsid w:val="00AA23C8"/>
    <w:rsid w:val="00AA2BE8"/>
    <w:rsid w:val="00AA390E"/>
    <w:rsid w:val="00AA57A7"/>
    <w:rsid w:val="00AA626B"/>
    <w:rsid w:val="00AA70FB"/>
    <w:rsid w:val="00AB2094"/>
    <w:rsid w:val="00AB3E73"/>
    <w:rsid w:val="00AB43E7"/>
    <w:rsid w:val="00AB4A1A"/>
    <w:rsid w:val="00AB53B0"/>
    <w:rsid w:val="00AB61D3"/>
    <w:rsid w:val="00AB6823"/>
    <w:rsid w:val="00AB6A7C"/>
    <w:rsid w:val="00AB7F79"/>
    <w:rsid w:val="00AC30CA"/>
    <w:rsid w:val="00AC3353"/>
    <w:rsid w:val="00AC4D74"/>
    <w:rsid w:val="00AC666A"/>
    <w:rsid w:val="00AC68DF"/>
    <w:rsid w:val="00AC7E68"/>
    <w:rsid w:val="00AD0001"/>
    <w:rsid w:val="00AD1363"/>
    <w:rsid w:val="00AD16F4"/>
    <w:rsid w:val="00AD181E"/>
    <w:rsid w:val="00AD21E8"/>
    <w:rsid w:val="00AD26A0"/>
    <w:rsid w:val="00AD5741"/>
    <w:rsid w:val="00AE181A"/>
    <w:rsid w:val="00AE1C6E"/>
    <w:rsid w:val="00AE40A0"/>
    <w:rsid w:val="00AE4904"/>
    <w:rsid w:val="00AE4AD6"/>
    <w:rsid w:val="00AE4C33"/>
    <w:rsid w:val="00AE4FEF"/>
    <w:rsid w:val="00AE598E"/>
    <w:rsid w:val="00AE5A68"/>
    <w:rsid w:val="00AE5E9C"/>
    <w:rsid w:val="00AE73F2"/>
    <w:rsid w:val="00AF01A2"/>
    <w:rsid w:val="00AF0AF8"/>
    <w:rsid w:val="00AF0C76"/>
    <w:rsid w:val="00AF243F"/>
    <w:rsid w:val="00AF2B12"/>
    <w:rsid w:val="00AF52B2"/>
    <w:rsid w:val="00AF6C01"/>
    <w:rsid w:val="00AF765E"/>
    <w:rsid w:val="00AF7805"/>
    <w:rsid w:val="00B01BE0"/>
    <w:rsid w:val="00B0390E"/>
    <w:rsid w:val="00B03FB7"/>
    <w:rsid w:val="00B05286"/>
    <w:rsid w:val="00B05501"/>
    <w:rsid w:val="00B060C9"/>
    <w:rsid w:val="00B10A50"/>
    <w:rsid w:val="00B10CA8"/>
    <w:rsid w:val="00B12F7F"/>
    <w:rsid w:val="00B14094"/>
    <w:rsid w:val="00B15003"/>
    <w:rsid w:val="00B153BA"/>
    <w:rsid w:val="00B168D5"/>
    <w:rsid w:val="00B17444"/>
    <w:rsid w:val="00B17656"/>
    <w:rsid w:val="00B20035"/>
    <w:rsid w:val="00B202C4"/>
    <w:rsid w:val="00B225E9"/>
    <w:rsid w:val="00B23338"/>
    <w:rsid w:val="00B2370B"/>
    <w:rsid w:val="00B24CE4"/>
    <w:rsid w:val="00B267C2"/>
    <w:rsid w:val="00B27629"/>
    <w:rsid w:val="00B32427"/>
    <w:rsid w:val="00B327E2"/>
    <w:rsid w:val="00B331E3"/>
    <w:rsid w:val="00B35870"/>
    <w:rsid w:val="00B4374B"/>
    <w:rsid w:val="00B4570E"/>
    <w:rsid w:val="00B46E1C"/>
    <w:rsid w:val="00B509E5"/>
    <w:rsid w:val="00B51274"/>
    <w:rsid w:val="00B5182E"/>
    <w:rsid w:val="00B51FE8"/>
    <w:rsid w:val="00B52B34"/>
    <w:rsid w:val="00B553BB"/>
    <w:rsid w:val="00B55DE7"/>
    <w:rsid w:val="00B60117"/>
    <w:rsid w:val="00B6153E"/>
    <w:rsid w:val="00B6245D"/>
    <w:rsid w:val="00B624D6"/>
    <w:rsid w:val="00B6410D"/>
    <w:rsid w:val="00B64151"/>
    <w:rsid w:val="00B6518F"/>
    <w:rsid w:val="00B6592B"/>
    <w:rsid w:val="00B669B8"/>
    <w:rsid w:val="00B66E26"/>
    <w:rsid w:val="00B67445"/>
    <w:rsid w:val="00B67A91"/>
    <w:rsid w:val="00B73AAE"/>
    <w:rsid w:val="00B73DE3"/>
    <w:rsid w:val="00B748BE"/>
    <w:rsid w:val="00B75843"/>
    <w:rsid w:val="00B7648E"/>
    <w:rsid w:val="00B80275"/>
    <w:rsid w:val="00B80F15"/>
    <w:rsid w:val="00B82695"/>
    <w:rsid w:val="00B8461F"/>
    <w:rsid w:val="00B848AC"/>
    <w:rsid w:val="00B86869"/>
    <w:rsid w:val="00B87F15"/>
    <w:rsid w:val="00B9019F"/>
    <w:rsid w:val="00B905EC"/>
    <w:rsid w:val="00B92EE8"/>
    <w:rsid w:val="00B9359A"/>
    <w:rsid w:val="00B93F9D"/>
    <w:rsid w:val="00B9746C"/>
    <w:rsid w:val="00BA0DF9"/>
    <w:rsid w:val="00BA0E2D"/>
    <w:rsid w:val="00BA19F8"/>
    <w:rsid w:val="00BA1A1C"/>
    <w:rsid w:val="00BA340C"/>
    <w:rsid w:val="00BA3606"/>
    <w:rsid w:val="00BA4CB5"/>
    <w:rsid w:val="00BA56DD"/>
    <w:rsid w:val="00BA6746"/>
    <w:rsid w:val="00BA67DE"/>
    <w:rsid w:val="00BA704E"/>
    <w:rsid w:val="00BA780D"/>
    <w:rsid w:val="00BB0472"/>
    <w:rsid w:val="00BB13D9"/>
    <w:rsid w:val="00BB1472"/>
    <w:rsid w:val="00BB3FA1"/>
    <w:rsid w:val="00BB743A"/>
    <w:rsid w:val="00BC039E"/>
    <w:rsid w:val="00BC2443"/>
    <w:rsid w:val="00BC704C"/>
    <w:rsid w:val="00BC7398"/>
    <w:rsid w:val="00BC7DDE"/>
    <w:rsid w:val="00BD0C82"/>
    <w:rsid w:val="00BD2D75"/>
    <w:rsid w:val="00BD462D"/>
    <w:rsid w:val="00BD4B18"/>
    <w:rsid w:val="00BD4ECB"/>
    <w:rsid w:val="00BD4F87"/>
    <w:rsid w:val="00BD65F0"/>
    <w:rsid w:val="00BD6655"/>
    <w:rsid w:val="00BD6829"/>
    <w:rsid w:val="00BD6A14"/>
    <w:rsid w:val="00BD77C6"/>
    <w:rsid w:val="00BE04B9"/>
    <w:rsid w:val="00BE06EC"/>
    <w:rsid w:val="00BE1833"/>
    <w:rsid w:val="00BE1E2E"/>
    <w:rsid w:val="00BE233A"/>
    <w:rsid w:val="00BE2C4A"/>
    <w:rsid w:val="00BE3467"/>
    <w:rsid w:val="00BE4821"/>
    <w:rsid w:val="00BE5E8D"/>
    <w:rsid w:val="00BE5E90"/>
    <w:rsid w:val="00BE65A8"/>
    <w:rsid w:val="00BE7383"/>
    <w:rsid w:val="00BF1191"/>
    <w:rsid w:val="00BF3C04"/>
    <w:rsid w:val="00BF7046"/>
    <w:rsid w:val="00BF745F"/>
    <w:rsid w:val="00BF7A5C"/>
    <w:rsid w:val="00BF7B6D"/>
    <w:rsid w:val="00C00486"/>
    <w:rsid w:val="00C004D1"/>
    <w:rsid w:val="00C00627"/>
    <w:rsid w:val="00C00EC7"/>
    <w:rsid w:val="00C01B11"/>
    <w:rsid w:val="00C01BF5"/>
    <w:rsid w:val="00C020D9"/>
    <w:rsid w:val="00C02F68"/>
    <w:rsid w:val="00C04AEC"/>
    <w:rsid w:val="00C06ED8"/>
    <w:rsid w:val="00C07502"/>
    <w:rsid w:val="00C1015F"/>
    <w:rsid w:val="00C11F66"/>
    <w:rsid w:val="00C12248"/>
    <w:rsid w:val="00C12B54"/>
    <w:rsid w:val="00C142C7"/>
    <w:rsid w:val="00C14EEC"/>
    <w:rsid w:val="00C169F8"/>
    <w:rsid w:val="00C16D42"/>
    <w:rsid w:val="00C17371"/>
    <w:rsid w:val="00C23F4D"/>
    <w:rsid w:val="00C25103"/>
    <w:rsid w:val="00C26FA2"/>
    <w:rsid w:val="00C276C1"/>
    <w:rsid w:val="00C27C4B"/>
    <w:rsid w:val="00C27D9D"/>
    <w:rsid w:val="00C27EA9"/>
    <w:rsid w:val="00C3050C"/>
    <w:rsid w:val="00C30EE3"/>
    <w:rsid w:val="00C33A29"/>
    <w:rsid w:val="00C34C11"/>
    <w:rsid w:val="00C35B7E"/>
    <w:rsid w:val="00C35C0F"/>
    <w:rsid w:val="00C35FB8"/>
    <w:rsid w:val="00C37F4F"/>
    <w:rsid w:val="00C4287F"/>
    <w:rsid w:val="00C45E96"/>
    <w:rsid w:val="00C463B0"/>
    <w:rsid w:val="00C46CCC"/>
    <w:rsid w:val="00C47E0E"/>
    <w:rsid w:val="00C506E9"/>
    <w:rsid w:val="00C5327B"/>
    <w:rsid w:val="00C53E03"/>
    <w:rsid w:val="00C55270"/>
    <w:rsid w:val="00C56886"/>
    <w:rsid w:val="00C577A8"/>
    <w:rsid w:val="00C57E7B"/>
    <w:rsid w:val="00C60CBD"/>
    <w:rsid w:val="00C61742"/>
    <w:rsid w:val="00C61FDC"/>
    <w:rsid w:val="00C6223E"/>
    <w:rsid w:val="00C65639"/>
    <w:rsid w:val="00C6627C"/>
    <w:rsid w:val="00C662EA"/>
    <w:rsid w:val="00C6702C"/>
    <w:rsid w:val="00C75207"/>
    <w:rsid w:val="00C769D0"/>
    <w:rsid w:val="00C81080"/>
    <w:rsid w:val="00C8239E"/>
    <w:rsid w:val="00C846C9"/>
    <w:rsid w:val="00C84B03"/>
    <w:rsid w:val="00C8752C"/>
    <w:rsid w:val="00C87530"/>
    <w:rsid w:val="00C879FD"/>
    <w:rsid w:val="00C87A9C"/>
    <w:rsid w:val="00C90D5D"/>
    <w:rsid w:val="00C93885"/>
    <w:rsid w:val="00C9412C"/>
    <w:rsid w:val="00C9482F"/>
    <w:rsid w:val="00C95B60"/>
    <w:rsid w:val="00C96C4F"/>
    <w:rsid w:val="00C97BE3"/>
    <w:rsid w:val="00CA188B"/>
    <w:rsid w:val="00CA27D7"/>
    <w:rsid w:val="00CA52D2"/>
    <w:rsid w:val="00CA54BE"/>
    <w:rsid w:val="00CA7741"/>
    <w:rsid w:val="00CB0AAD"/>
    <w:rsid w:val="00CB43FC"/>
    <w:rsid w:val="00CB4FE9"/>
    <w:rsid w:val="00CB7062"/>
    <w:rsid w:val="00CB72A7"/>
    <w:rsid w:val="00CC020C"/>
    <w:rsid w:val="00CC0B9F"/>
    <w:rsid w:val="00CC1C45"/>
    <w:rsid w:val="00CC2997"/>
    <w:rsid w:val="00CC31EF"/>
    <w:rsid w:val="00CC4F11"/>
    <w:rsid w:val="00CC60B1"/>
    <w:rsid w:val="00CC675C"/>
    <w:rsid w:val="00CD1C4A"/>
    <w:rsid w:val="00CD25E5"/>
    <w:rsid w:val="00CD3487"/>
    <w:rsid w:val="00CD4175"/>
    <w:rsid w:val="00CD4561"/>
    <w:rsid w:val="00CD4591"/>
    <w:rsid w:val="00CD4D2F"/>
    <w:rsid w:val="00CD4F34"/>
    <w:rsid w:val="00CD5B6F"/>
    <w:rsid w:val="00CD6AAC"/>
    <w:rsid w:val="00CD6FDB"/>
    <w:rsid w:val="00CD73D9"/>
    <w:rsid w:val="00CE0BD2"/>
    <w:rsid w:val="00CE2A9A"/>
    <w:rsid w:val="00CE40AD"/>
    <w:rsid w:val="00CE46E9"/>
    <w:rsid w:val="00CE7841"/>
    <w:rsid w:val="00CE7EB2"/>
    <w:rsid w:val="00CF02A7"/>
    <w:rsid w:val="00CF04C2"/>
    <w:rsid w:val="00CF0CA6"/>
    <w:rsid w:val="00CF22C3"/>
    <w:rsid w:val="00CF2A58"/>
    <w:rsid w:val="00CF329F"/>
    <w:rsid w:val="00CF49E4"/>
    <w:rsid w:val="00CF66E9"/>
    <w:rsid w:val="00CF7072"/>
    <w:rsid w:val="00CF77A2"/>
    <w:rsid w:val="00D026CE"/>
    <w:rsid w:val="00D028F1"/>
    <w:rsid w:val="00D03137"/>
    <w:rsid w:val="00D046C0"/>
    <w:rsid w:val="00D10857"/>
    <w:rsid w:val="00D10D0F"/>
    <w:rsid w:val="00D11931"/>
    <w:rsid w:val="00D1224C"/>
    <w:rsid w:val="00D1253D"/>
    <w:rsid w:val="00D12FED"/>
    <w:rsid w:val="00D1333F"/>
    <w:rsid w:val="00D134AC"/>
    <w:rsid w:val="00D14758"/>
    <w:rsid w:val="00D14E13"/>
    <w:rsid w:val="00D1575B"/>
    <w:rsid w:val="00D15A53"/>
    <w:rsid w:val="00D15F55"/>
    <w:rsid w:val="00D1664C"/>
    <w:rsid w:val="00D170F5"/>
    <w:rsid w:val="00D17334"/>
    <w:rsid w:val="00D214D2"/>
    <w:rsid w:val="00D21521"/>
    <w:rsid w:val="00D224D1"/>
    <w:rsid w:val="00D22F6A"/>
    <w:rsid w:val="00D234A8"/>
    <w:rsid w:val="00D248F4"/>
    <w:rsid w:val="00D2496D"/>
    <w:rsid w:val="00D27964"/>
    <w:rsid w:val="00D30872"/>
    <w:rsid w:val="00D30C63"/>
    <w:rsid w:val="00D332AB"/>
    <w:rsid w:val="00D34347"/>
    <w:rsid w:val="00D34570"/>
    <w:rsid w:val="00D349E8"/>
    <w:rsid w:val="00D40880"/>
    <w:rsid w:val="00D41FEC"/>
    <w:rsid w:val="00D42DAA"/>
    <w:rsid w:val="00D43779"/>
    <w:rsid w:val="00D448C6"/>
    <w:rsid w:val="00D45320"/>
    <w:rsid w:val="00D50BC2"/>
    <w:rsid w:val="00D5170B"/>
    <w:rsid w:val="00D51A0F"/>
    <w:rsid w:val="00D520C3"/>
    <w:rsid w:val="00D52461"/>
    <w:rsid w:val="00D535F0"/>
    <w:rsid w:val="00D558EC"/>
    <w:rsid w:val="00D5637F"/>
    <w:rsid w:val="00D57124"/>
    <w:rsid w:val="00D60A58"/>
    <w:rsid w:val="00D61549"/>
    <w:rsid w:val="00D659C7"/>
    <w:rsid w:val="00D65E3B"/>
    <w:rsid w:val="00D67E96"/>
    <w:rsid w:val="00D71C73"/>
    <w:rsid w:val="00D72D11"/>
    <w:rsid w:val="00D732E2"/>
    <w:rsid w:val="00D74D26"/>
    <w:rsid w:val="00D762B8"/>
    <w:rsid w:val="00D802CF"/>
    <w:rsid w:val="00D81CBA"/>
    <w:rsid w:val="00D82601"/>
    <w:rsid w:val="00D83B3F"/>
    <w:rsid w:val="00D84BE2"/>
    <w:rsid w:val="00D85F6C"/>
    <w:rsid w:val="00D8601B"/>
    <w:rsid w:val="00D866F0"/>
    <w:rsid w:val="00D87FFD"/>
    <w:rsid w:val="00D942D8"/>
    <w:rsid w:val="00D943EA"/>
    <w:rsid w:val="00D94F03"/>
    <w:rsid w:val="00D95805"/>
    <w:rsid w:val="00D95F2F"/>
    <w:rsid w:val="00D95F98"/>
    <w:rsid w:val="00D968CA"/>
    <w:rsid w:val="00DA02E8"/>
    <w:rsid w:val="00DA0A7A"/>
    <w:rsid w:val="00DA0B88"/>
    <w:rsid w:val="00DA24FA"/>
    <w:rsid w:val="00DA25A8"/>
    <w:rsid w:val="00DA37D9"/>
    <w:rsid w:val="00DA396F"/>
    <w:rsid w:val="00DA3A73"/>
    <w:rsid w:val="00DA56AD"/>
    <w:rsid w:val="00DA745E"/>
    <w:rsid w:val="00DA7ABD"/>
    <w:rsid w:val="00DA7D8F"/>
    <w:rsid w:val="00DA7EBE"/>
    <w:rsid w:val="00DB0513"/>
    <w:rsid w:val="00DB34AC"/>
    <w:rsid w:val="00DB39B7"/>
    <w:rsid w:val="00DB4C10"/>
    <w:rsid w:val="00DB4FB4"/>
    <w:rsid w:val="00DB6225"/>
    <w:rsid w:val="00DC0AB0"/>
    <w:rsid w:val="00DC31B4"/>
    <w:rsid w:val="00DC4156"/>
    <w:rsid w:val="00DC5CE5"/>
    <w:rsid w:val="00DC791F"/>
    <w:rsid w:val="00DD1C5B"/>
    <w:rsid w:val="00DD3A87"/>
    <w:rsid w:val="00DD4BF9"/>
    <w:rsid w:val="00DD6A44"/>
    <w:rsid w:val="00DD7B6A"/>
    <w:rsid w:val="00DE025D"/>
    <w:rsid w:val="00DE080B"/>
    <w:rsid w:val="00DE1C89"/>
    <w:rsid w:val="00DE4336"/>
    <w:rsid w:val="00DE4550"/>
    <w:rsid w:val="00DE4631"/>
    <w:rsid w:val="00DE5070"/>
    <w:rsid w:val="00DE558F"/>
    <w:rsid w:val="00DE588F"/>
    <w:rsid w:val="00DE5D95"/>
    <w:rsid w:val="00DF0128"/>
    <w:rsid w:val="00DF108B"/>
    <w:rsid w:val="00DF1751"/>
    <w:rsid w:val="00DF22C1"/>
    <w:rsid w:val="00DF2687"/>
    <w:rsid w:val="00DF35DB"/>
    <w:rsid w:val="00DF36A7"/>
    <w:rsid w:val="00DF4609"/>
    <w:rsid w:val="00DF4A72"/>
    <w:rsid w:val="00DF59ED"/>
    <w:rsid w:val="00DF62B2"/>
    <w:rsid w:val="00DF687C"/>
    <w:rsid w:val="00DF6C6D"/>
    <w:rsid w:val="00DF717F"/>
    <w:rsid w:val="00DF7B66"/>
    <w:rsid w:val="00E02432"/>
    <w:rsid w:val="00E02A3B"/>
    <w:rsid w:val="00E03788"/>
    <w:rsid w:val="00E03FB5"/>
    <w:rsid w:val="00E04CA0"/>
    <w:rsid w:val="00E05CFC"/>
    <w:rsid w:val="00E10B65"/>
    <w:rsid w:val="00E12C1C"/>
    <w:rsid w:val="00E153CB"/>
    <w:rsid w:val="00E1551E"/>
    <w:rsid w:val="00E1681C"/>
    <w:rsid w:val="00E16D93"/>
    <w:rsid w:val="00E20508"/>
    <w:rsid w:val="00E212FB"/>
    <w:rsid w:val="00E21770"/>
    <w:rsid w:val="00E219F6"/>
    <w:rsid w:val="00E22D7E"/>
    <w:rsid w:val="00E24484"/>
    <w:rsid w:val="00E25AAC"/>
    <w:rsid w:val="00E27480"/>
    <w:rsid w:val="00E3023A"/>
    <w:rsid w:val="00E3079E"/>
    <w:rsid w:val="00E33B57"/>
    <w:rsid w:val="00E36B44"/>
    <w:rsid w:val="00E37861"/>
    <w:rsid w:val="00E37D6E"/>
    <w:rsid w:val="00E44077"/>
    <w:rsid w:val="00E44990"/>
    <w:rsid w:val="00E44AEF"/>
    <w:rsid w:val="00E45D3D"/>
    <w:rsid w:val="00E46396"/>
    <w:rsid w:val="00E47DDF"/>
    <w:rsid w:val="00E50928"/>
    <w:rsid w:val="00E533BD"/>
    <w:rsid w:val="00E556D1"/>
    <w:rsid w:val="00E56C51"/>
    <w:rsid w:val="00E56D0C"/>
    <w:rsid w:val="00E60BC4"/>
    <w:rsid w:val="00E60E85"/>
    <w:rsid w:val="00E61A05"/>
    <w:rsid w:val="00E61DB4"/>
    <w:rsid w:val="00E62320"/>
    <w:rsid w:val="00E62F19"/>
    <w:rsid w:val="00E6340C"/>
    <w:rsid w:val="00E65034"/>
    <w:rsid w:val="00E65706"/>
    <w:rsid w:val="00E663D5"/>
    <w:rsid w:val="00E674B2"/>
    <w:rsid w:val="00E70385"/>
    <w:rsid w:val="00E7059B"/>
    <w:rsid w:val="00E715FA"/>
    <w:rsid w:val="00E74062"/>
    <w:rsid w:val="00E7503D"/>
    <w:rsid w:val="00E7562E"/>
    <w:rsid w:val="00E765A4"/>
    <w:rsid w:val="00E801AC"/>
    <w:rsid w:val="00E8235C"/>
    <w:rsid w:val="00E83DFC"/>
    <w:rsid w:val="00E8442E"/>
    <w:rsid w:val="00E844FB"/>
    <w:rsid w:val="00E84F1C"/>
    <w:rsid w:val="00E85E1B"/>
    <w:rsid w:val="00E9184D"/>
    <w:rsid w:val="00E924A4"/>
    <w:rsid w:val="00E92A30"/>
    <w:rsid w:val="00E93136"/>
    <w:rsid w:val="00E957D1"/>
    <w:rsid w:val="00E96161"/>
    <w:rsid w:val="00E962F1"/>
    <w:rsid w:val="00E9744A"/>
    <w:rsid w:val="00E979F2"/>
    <w:rsid w:val="00EA0E12"/>
    <w:rsid w:val="00EA2570"/>
    <w:rsid w:val="00EA269B"/>
    <w:rsid w:val="00EA2FB2"/>
    <w:rsid w:val="00EA4ADB"/>
    <w:rsid w:val="00EA5B4A"/>
    <w:rsid w:val="00EA6567"/>
    <w:rsid w:val="00EA6B5E"/>
    <w:rsid w:val="00EA6BE6"/>
    <w:rsid w:val="00EA7EB0"/>
    <w:rsid w:val="00EB1747"/>
    <w:rsid w:val="00EB18AB"/>
    <w:rsid w:val="00EB55DD"/>
    <w:rsid w:val="00EB7B02"/>
    <w:rsid w:val="00EC10C6"/>
    <w:rsid w:val="00EC1140"/>
    <w:rsid w:val="00EC1A9B"/>
    <w:rsid w:val="00EC253F"/>
    <w:rsid w:val="00EC2F81"/>
    <w:rsid w:val="00EC599D"/>
    <w:rsid w:val="00EC6B83"/>
    <w:rsid w:val="00EC6CA8"/>
    <w:rsid w:val="00ED375B"/>
    <w:rsid w:val="00ED3A51"/>
    <w:rsid w:val="00ED3CD9"/>
    <w:rsid w:val="00ED5B3D"/>
    <w:rsid w:val="00EE2BCE"/>
    <w:rsid w:val="00EE2CFD"/>
    <w:rsid w:val="00EE2E92"/>
    <w:rsid w:val="00EE35BD"/>
    <w:rsid w:val="00EE512D"/>
    <w:rsid w:val="00EE55F1"/>
    <w:rsid w:val="00EE5B67"/>
    <w:rsid w:val="00EE741F"/>
    <w:rsid w:val="00EF0C0A"/>
    <w:rsid w:val="00EF19BA"/>
    <w:rsid w:val="00EF1DBD"/>
    <w:rsid w:val="00EF2057"/>
    <w:rsid w:val="00EF268A"/>
    <w:rsid w:val="00EF2826"/>
    <w:rsid w:val="00EF583C"/>
    <w:rsid w:val="00EF5B2A"/>
    <w:rsid w:val="00EF604B"/>
    <w:rsid w:val="00EF7CD3"/>
    <w:rsid w:val="00F00B89"/>
    <w:rsid w:val="00F02FE4"/>
    <w:rsid w:val="00F04E3B"/>
    <w:rsid w:val="00F05829"/>
    <w:rsid w:val="00F0650E"/>
    <w:rsid w:val="00F06F99"/>
    <w:rsid w:val="00F072F7"/>
    <w:rsid w:val="00F117A5"/>
    <w:rsid w:val="00F129CB"/>
    <w:rsid w:val="00F14823"/>
    <w:rsid w:val="00F21E07"/>
    <w:rsid w:val="00F2201B"/>
    <w:rsid w:val="00F22366"/>
    <w:rsid w:val="00F241A6"/>
    <w:rsid w:val="00F2491C"/>
    <w:rsid w:val="00F24A49"/>
    <w:rsid w:val="00F26C79"/>
    <w:rsid w:val="00F26DC1"/>
    <w:rsid w:val="00F27047"/>
    <w:rsid w:val="00F27760"/>
    <w:rsid w:val="00F278A6"/>
    <w:rsid w:val="00F303F6"/>
    <w:rsid w:val="00F305B0"/>
    <w:rsid w:val="00F3191C"/>
    <w:rsid w:val="00F332E8"/>
    <w:rsid w:val="00F33BA5"/>
    <w:rsid w:val="00F347FE"/>
    <w:rsid w:val="00F35729"/>
    <w:rsid w:val="00F3592C"/>
    <w:rsid w:val="00F37C9C"/>
    <w:rsid w:val="00F41B39"/>
    <w:rsid w:val="00F41DC0"/>
    <w:rsid w:val="00F42723"/>
    <w:rsid w:val="00F431DF"/>
    <w:rsid w:val="00F43AE7"/>
    <w:rsid w:val="00F44065"/>
    <w:rsid w:val="00F45B6D"/>
    <w:rsid w:val="00F4655D"/>
    <w:rsid w:val="00F4777E"/>
    <w:rsid w:val="00F525C9"/>
    <w:rsid w:val="00F55F56"/>
    <w:rsid w:val="00F5606B"/>
    <w:rsid w:val="00F56518"/>
    <w:rsid w:val="00F56596"/>
    <w:rsid w:val="00F579C3"/>
    <w:rsid w:val="00F57CCA"/>
    <w:rsid w:val="00F617A9"/>
    <w:rsid w:val="00F61822"/>
    <w:rsid w:val="00F63C41"/>
    <w:rsid w:val="00F64E43"/>
    <w:rsid w:val="00F65561"/>
    <w:rsid w:val="00F65592"/>
    <w:rsid w:val="00F66824"/>
    <w:rsid w:val="00F6765E"/>
    <w:rsid w:val="00F67851"/>
    <w:rsid w:val="00F67DA8"/>
    <w:rsid w:val="00F72447"/>
    <w:rsid w:val="00F72953"/>
    <w:rsid w:val="00F72B1C"/>
    <w:rsid w:val="00F802DF"/>
    <w:rsid w:val="00F808A9"/>
    <w:rsid w:val="00F80BD1"/>
    <w:rsid w:val="00F80EFB"/>
    <w:rsid w:val="00F814BE"/>
    <w:rsid w:val="00F81A14"/>
    <w:rsid w:val="00F8303F"/>
    <w:rsid w:val="00F837DB"/>
    <w:rsid w:val="00F83823"/>
    <w:rsid w:val="00F83C28"/>
    <w:rsid w:val="00F842EF"/>
    <w:rsid w:val="00F85005"/>
    <w:rsid w:val="00F86380"/>
    <w:rsid w:val="00F876B5"/>
    <w:rsid w:val="00F90780"/>
    <w:rsid w:val="00F90D2A"/>
    <w:rsid w:val="00F92345"/>
    <w:rsid w:val="00F93847"/>
    <w:rsid w:val="00F9467E"/>
    <w:rsid w:val="00F94916"/>
    <w:rsid w:val="00F95FBB"/>
    <w:rsid w:val="00F96C9D"/>
    <w:rsid w:val="00F976DB"/>
    <w:rsid w:val="00F97BFA"/>
    <w:rsid w:val="00FA05B3"/>
    <w:rsid w:val="00FA0614"/>
    <w:rsid w:val="00FA0CCE"/>
    <w:rsid w:val="00FA155D"/>
    <w:rsid w:val="00FA1F85"/>
    <w:rsid w:val="00FA23D7"/>
    <w:rsid w:val="00FA2A9F"/>
    <w:rsid w:val="00FA42CC"/>
    <w:rsid w:val="00FA5195"/>
    <w:rsid w:val="00FA5E91"/>
    <w:rsid w:val="00FA7BFE"/>
    <w:rsid w:val="00FB02F2"/>
    <w:rsid w:val="00FB23E7"/>
    <w:rsid w:val="00FB37D3"/>
    <w:rsid w:val="00FB43AF"/>
    <w:rsid w:val="00FB59B6"/>
    <w:rsid w:val="00FB7A20"/>
    <w:rsid w:val="00FC05F6"/>
    <w:rsid w:val="00FC2622"/>
    <w:rsid w:val="00FC26A1"/>
    <w:rsid w:val="00FC5ED8"/>
    <w:rsid w:val="00FC6A82"/>
    <w:rsid w:val="00FD0817"/>
    <w:rsid w:val="00FD0D54"/>
    <w:rsid w:val="00FD0FA4"/>
    <w:rsid w:val="00FD1030"/>
    <w:rsid w:val="00FD36AA"/>
    <w:rsid w:val="00FD4EA2"/>
    <w:rsid w:val="00FD69A5"/>
    <w:rsid w:val="00FD6A47"/>
    <w:rsid w:val="00FD7513"/>
    <w:rsid w:val="00FE0F8D"/>
    <w:rsid w:val="00FE1323"/>
    <w:rsid w:val="00FE36D9"/>
    <w:rsid w:val="00FE3B47"/>
    <w:rsid w:val="00FE510E"/>
    <w:rsid w:val="00FE5664"/>
    <w:rsid w:val="00FE5E1B"/>
    <w:rsid w:val="00FE671F"/>
    <w:rsid w:val="00FE6F96"/>
    <w:rsid w:val="00FE7451"/>
    <w:rsid w:val="00FF1AE0"/>
    <w:rsid w:val="00FF3954"/>
    <w:rsid w:val="00FF4864"/>
    <w:rsid w:val="00FF50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38EB1"/>
  <w15:chartTrackingRefBased/>
  <w15:docId w15:val="{607D5A74-5827-4CBC-81A6-81E2C9A77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533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33BD"/>
  </w:style>
  <w:style w:type="paragraph" w:styleId="Stopka">
    <w:name w:val="footer"/>
    <w:basedOn w:val="Normalny"/>
    <w:link w:val="StopkaZnak"/>
    <w:uiPriority w:val="99"/>
    <w:unhideWhenUsed/>
    <w:rsid w:val="00E533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33BD"/>
  </w:style>
  <w:style w:type="paragraph" w:styleId="Tekstprzypisukocowego">
    <w:name w:val="endnote text"/>
    <w:basedOn w:val="Normalny"/>
    <w:link w:val="TekstprzypisukocowegoZnak"/>
    <w:uiPriority w:val="99"/>
    <w:semiHidden/>
    <w:unhideWhenUsed/>
    <w:rsid w:val="00E61DB4"/>
    <w:rPr>
      <w:sz w:val="20"/>
      <w:szCs w:val="20"/>
    </w:rPr>
  </w:style>
  <w:style w:type="character" w:customStyle="1" w:styleId="TekstprzypisukocowegoZnak">
    <w:name w:val="Tekst przypisu końcowego Znak"/>
    <w:link w:val="Tekstprzypisukocowego"/>
    <w:uiPriority w:val="99"/>
    <w:semiHidden/>
    <w:rsid w:val="00E61DB4"/>
    <w:rPr>
      <w:lang w:eastAsia="en-US"/>
    </w:rPr>
  </w:style>
  <w:style w:type="character" w:styleId="Odwoanieprzypisukocowego">
    <w:name w:val="endnote reference"/>
    <w:uiPriority w:val="99"/>
    <w:semiHidden/>
    <w:unhideWhenUsed/>
    <w:rsid w:val="00E61DB4"/>
    <w:rPr>
      <w:vertAlign w:val="superscript"/>
    </w:rPr>
  </w:style>
  <w:style w:type="character" w:styleId="Hipercze">
    <w:name w:val="Hyperlink"/>
    <w:uiPriority w:val="99"/>
    <w:unhideWhenUsed/>
    <w:rsid w:val="00084AA3"/>
    <w:rPr>
      <w:color w:val="0563C1"/>
      <w:u w:val="single"/>
    </w:rPr>
  </w:style>
  <w:style w:type="character" w:styleId="Nierozpoznanawzmianka">
    <w:name w:val="Unresolved Mention"/>
    <w:uiPriority w:val="99"/>
    <w:semiHidden/>
    <w:unhideWhenUsed/>
    <w:rsid w:val="00084AA3"/>
    <w:rPr>
      <w:color w:val="605E5C"/>
      <w:shd w:val="clear" w:color="auto" w:fill="E1DFDD"/>
    </w:rPr>
  </w:style>
  <w:style w:type="character" w:styleId="UyteHipercze">
    <w:name w:val="FollowedHyperlink"/>
    <w:uiPriority w:val="99"/>
    <w:semiHidden/>
    <w:unhideWhenUsed/>
    <w:rsid w:val="00E65706"/>
    <w:rPr>
      <w:color w:val="954F72"/>
      <w:u w:val="single"/>
    </w:rPr>
  </w:style>
  <w:style w:type="paragraph" w:styleId="Akapitzlist">
    <w:name w:val="List Paragraph"/>
    <w:basedOn w:val="Normalny"/>
    <w:uiPriority w:val="34"/>
    <w:qFormat/>
    <w:rsid w:val="00720182"/>
    <w:pPr>
      <w:ind w:left="720"/>
      <w:contextualSpacing/>
    </w:pPr>
  </w:style>
  <w:style w:type="table" w:styleId="Tabela-Siatka">
    <w:name w:val="Table Grid"/>
    <w:basedOn w:val="Standardowy"/>
    <w:uiPriority w:val="39"/>
    <w:rsid w:val="00087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206873">
      <w:bodyDiv w:val="1"/>
      <w:marLeft w:val="0"/>
      <w:marRight w:val="0"/>
      <w:marTop w:val="0"/>
      <w:marBottom w:val="0"/>
      <w:divBdr>
        <w:top w:val="none" w:sz="0" w:space="0" w:color="auto"/>
        <w:left w:val="none" w:sz="0" w:space="0" w:color="auto"/>
        <w:bottom w:val="none" w:sz="0" w:space="0" w:color="auto"/>
        <w:right w:val="none" w:sz="0" w:space="0" w:color="auto"/>
      </w:divBdr>
    </w:div>
    <w:div w:id="266353623">
      <w:bodyDiv w:val="1"/>
      <w:marLeft w:val="0"/>
      <w:marRight w:val="0"/>
      <w:marTop w:val="0"/>
      <w:marBottom w:val="0"/>
      <w:divBdr>
        <w:top w:val="none" w:sz="0" w:space="0" w:color="auto"/>
        <w:left w:val="none" w:sz="0" w:space="0" w:color="auto"/>
        <w:bottom w:val="none" w:sz="0" w:space="0" w:color="auto"/>
        <w:right w:val="none" w:sz="0" w:space="0" w:color="auto"/>
      </w:divBdr>
    </w:div>
    <w:div w:id="425422003">
      <w:bodyDiv w:val="1"/>
      <w:marLeft w:val="0"/>
      <w:marRight w:val="0"/>
      <w:marTop w:val="0"/>
      <w:marBottom w:val="0"/>
      <w:divBdr>
        <w:top w:val="none" w:sz="0" w:space="0" w:color="auto"/>
        <w:left w:val="none" w:sz="0" w:space="0" w:color="auto"/>
        <w:bottom w:val="none" w:sz="0" w:space="0" w:color="auto"/>
        <w:right w:val="none" w:sz="0" w:space="0" w:color="auto"/>
      </w:divBdr>
    </w:div>
    <w:div w:id="455681705">
      <w:bodyDiv w:val="1"/>
      <w:marLeft w:val="0"/>
      <w:marRight w:val="0"/>
      <w:marTop w:val="0"/>
      <w:marBottom w:val="0"/>
      <w:divBdr>
        <w:top w:val="none" w:sz="0" w:space="0" w:color="auto"/>
        <w:left w:val="none" w:sz="0" w:space="0" w:color="auto"/>
        <w:bottom w:val="none" w:sz="0" w:space="0" w:color="auto"/>
        <w:right w:val="none" w:sz="0" w:space="0" w:color="auto"/>
      </w:divBdr>
    </w:div>
    <w:div w:id="709376969">
      <w:bodyDiv w:val="1"/>
      <w:marLeft w:val="0"/>
      <w:marRight w:val="0"/>
      <w:marTop w:val="0"/>
      <w:marBottom w:val="0"/>
      <w:divBdr>
        <w:top w:val="none" w:sz="0" w:space="0" w:color="auto"/>
        <w:left w:val="none" w:sz="0" w:space="0" w:color="auto"/>
        <w:bottom w:val="none" w:sz="0" w:space="0" w:color="auto"/>
        <w:right w:val="none" w:sz="0" w:space="0" w:color="auto"/>
      </w:divBdr>
    </w:div>
    <w:div w:id="1085954634">
      <w:bodyDiv w:val="1"/>
      <w:marLeft w:val="0"/>
      <w:marRight w:val="0"/>
      <w:marTop w:val="0"/>
      <w:marBottom w:val="0"/>
      <w:divBdr>
        <w:top w:val="none" w:sz="0" w:space="0" w:color="auto"/>
        <w:left w:val="none" w:sz="0" w:space="0" w:color="auto"/>
        <w:bottom w:val="none" w:sz="0" w:space="0" w:color="auto"/>
        <w:right w:val="none" w:sz="0" w:space="0" w:color="auto"/>
      </w:divBdr>
    </w:div>
    <w:div w:id="1347248081">
      <w:bodyDiv w:val="1"/>
      <w:marLeft w:val="0"/>
      <w:marRight w:val="0"/>
      <w:marTop w:val="0"/>
      <w:marBottom w:val="0"/>
      <w:divBdr>
        <w:top w:val="none" w:sz="0" w:space="0" w:color="auto"/>
        <w:left w:val="none" w:sz="0" w:space="0" w:color="auto"/>
        <w:bottom w:val="none" w:sz="0" w:space="0" w:color="auto"/>
        <w:right w:val="none" w:sz="0" w:space="0" w:color="auto"/>
      </w:divBdr>
    </w:div>
    <w:div w:id="1519392011">
      <w:bodyDiv w:val="1"/>
      <w:marLeft w:val="0"/>
      <w:marRight w:val="0"/>
      <w:marTop w:val="0"/>
      <w:marBottom w:val="0"/>
      <w:divBdr>
        <w:top w:val="none" w:sz="0" w:space="0" w:color="auto"/>
        <w:left w:val="none" w:sz="0" w:space="0" w:color="auto"/>
        <w:bottom w:val="none" w:sz="0" w:space="0" w:color="auto"/>
        <w:right w:val="none" w:sz="0" w:space="0" w:color="auto"/>
      </w:divBdr>
    </w:div>
    <w:div w:id="1644500621">
      <w:bodyDiv w:val="1"/>
      <w:marLeft w:val="0"/>
      <w:marRight w:val="0"/>
      <w:marTop w:val="0"/>
      <w:marBottom w:val="0"/>
      <w:divBdr>
        <w:top w:val="none" w:sz="0" w:space="0" w:color="auto"/>
        <w:left w:val="none" w:sz="0" w:space="0" w:color="auto"/>
        <w:bottom w:val="none" w:sz="0" w:space="0" w:color="auto"/>
        <w:right w:val="none" w:sz="0" w:space="0" w:color="auto"/>
      </w:divBdr>
    </w:div>
    <w:div w:id="1674528437">
      <w:bodyDiv w:val="1"/>
      <w:marLeft w:val="0"/>
      <w:marRight w:val="0"/>
      <w:marTop w:val="0"/>
      <w:marBottom w:val="0"/>
      <w:divBdr>
        <w:top w:val="none" w:sz="0" w:space="0" w:color="auto"/>
        <w:left w:val="none" w:sz="0" w:space="0" w:color="auto"/>
        <w:bottom w:val="none" w:sz="0" w:space="0" w:color="auto"/>
        <w:right w:val="none" w:sz="0" w:space="0" w:color="auto"/>
      </w:divBdr>
    </w:div>
    <w:div w:id="183881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ynekpierwotny.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ynekpierwotny.pl/ceny/mieszkania/" TargetMode="External"/><Relationship Id="rId4" Type="http://schemas.openxmlformats.org/officeDocument/2006/relationships/settings" Target="settings.xml"/><Relationship Id="rId9" Type="http://schemas.openxmlformats.org/officeDocument/2006/relationships/hyperlink" Target="https://rynekpierwotny.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5A948-74EE-46C4-AA71-52FAB671F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2271</Words>
  <Characters>13627</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Prajsnar</dc:creator>
  <cp:keywords/>
  <dc:description/>
  <cp:lastModifiedBy>Mikołaj Ostrowski</cp:lastModifiedBy>
  <cp:revision>7</cp:revision>
  <cp:lastPrinted>2022-08-09T11:51:00Z</cp:lastPrinted>
  <dcterms:created xsi:type="dcterms:W3CDTF">2024-12-18T10:38:00Z</dcterms:created>
  <dcterms:modified xsi:type="dcterms:W3CDTF">2024-12-19T07:07:00Z</dcterms:modified>
</cp:coreProperties>
</file>